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3D" w:rsidRPr="0058012B" w:rsidRDefault="008139BB" w:rsidP="000A2568">
      <w:pPr>
        <w:pStyle w:val="BodyTextIndent"/>
        <w:jc w:val="both"/>
        <w:rPr>
          <w:sz w:val="22"/>
          <w:szCs w:val="22"/>
          <w:u w:val="single"/>
        </w:rPr>
      </w:pPr>
      <w:r w:rsidRPr="0058012B">
        <w:rPr>
          <w:b/>
          <w:sz w:val="22"/>
          <w:szCs w:val="22"/>
          <w:u w:val="single"/>
        </w:rPr>
        <w:t xml:space="preserve">Manchester </w:t>
      </w:r>
      <w:r w:rsidR="00665FBE" w:rsidRPr="0058012B">
        <w:rPr>
          <w:b/>
          <w:sz w:val="22"/>
          <w:szCs w:val="22"/>
          <w:u w:val="single"/>
        </w:rPr>
        <w:t xml:space="preserve">Institute of </w:t>
      </w:r>
      <w:proofErr w:type="gramStart"/>
      <w:r w:rsidR="00665FBE" w:rsidRPr="0058012B">
        <w:rPr>
          <w:b/>
          <w:sz w:val="22"/>
          <w:szCs w:val="22"/>
          <w:u w:val="single"/>
        </w:rPr>
        <w:t>Biotechnology</w:t>
      </w:r>
      <w:r w:rsidRPr="0058012B">
        <w:rPr>
          <w:b/>
          <w:bCs/>
          <w:sz w:val="22"/>
          <w:szCs w:val="22"/>
          <w:u w:val="single"/>
        </w:rPr>
        <w:t xml:space="preserve">  -</w:t>
      </w:r>
      <w:proofErr w:type="gramEnd"/>
      <w:r w:rsidRPr="0058012B">
        <w:rPr>
          <w:b/>
          <w:bCs/>
          <w:sz w:val="22"/>
          <w:szCs w:val="22"/>
          <w:u w:val="single"/>
        </w:rPr>
        <w:t xml:space="preserve"> </w:t>
      </w:r>
      <w:r w:rsidR="0005133D" w:rsidRPr="0058012B">
        <w:rPr>
          <w:b/>
          <w:bCs/>
          <w:sz w:val="22"/>
          <w:szCs w:val="22"/>
          <w:u w:val="single"/>
        </w:rPr>
        <w:t xml:space="preserve">Risk Assessment </w:t>
      </w:r>
    </w:p>
    <w:p w:rsidR="0005133D" w:rsidRPr="0058012B" w:rsidRDefault="00C57158" w:rsidP="000A2568">
      <w:pPr>
        <w:pStyle w:val="BodyTextIndent"/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pt;margin-top:15pt;width:87.9pt;height:84.55pt;z-index:-251658752;mso-position-horizontal-relative:page;mso-position-vertical-relative:page">
            <v:imagedata r:id="rId8" o:title="TUOM_4COL"/>
            <w10:wrap anchorx="page" anchory="page"/>
          </v:shape>
        </w:pict>
      </w:r>
    </w:p>
    <w:p w:rsidR="0020100F" w:rsidRPr="0058012B" w:rsidRDefault="0020100F" w:rsidP="000A2568">
      <w:pPr>
        <w:pStyle w:val="BodyTextIndent"/>
        <w:jc w:val="both"/>
        <w:rPr>
          <w:sz w:val="22"/>
          <w:szCs w:val="22"/>
        </w:rPr>
      </w:pPr>
    </w:p>
    <w:tbl>
      <w:tblPr>
        <w:tblW w:w="14109" w:type="dxa"/>
        <w:jc w:val="center"/>
        <w:tblInd w:w="-2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 w:firstRow="0" w:lastRow="0" w:firstColumn="0" w:lastColumn="0" w:noHBand="0" w:noVBand="0"/>
      </w:tblPr>
      <w:tblGrid>
        <w:gridCol w:w="1897"/>
        <w:gridCol w:w="3969"/>
        <w:gridCol w:w="3260"/>
        <w:gridCol w:w="2944"/>
        <w:gridCol w:w="2039"/>
      </w:tblGrid>
      <w:tr w:rsidR="00FD7865" w:rsidRPr="0058012B" w:rsidTr="002A200C">
        <w:trPr>
          <w:cantSplit/>
          <w:trHeight w:val="861"/>
          <w:tblHeader/>
          <w:jc w:val="center"/>
        </w:trPr>
        <w:tc>
          <w:tcPr>
            <w:tcW w:w="1897" w:type="dxa"/>
            <w:shd w:val="clear" w:color="auto" w:fill="CCFFCC"/>
          </w:tcPr>
          <w:p w:rsidR="00FD7865" w:rsidRPr="0058012B" w:rsidRDefault="00FD7865" w:rsidP="000A2568">
            <w:pPr>
              <w:jc w:val="both"/>
              <w:rPr>
                <w:color w:val="FF0000"/>
                <w:sz w:val="22"/>
                <w:szCs w:val="22"/>
              </w:rPr>
            </w:pPr>
            <w:r w:rsidRPr="0058012B">
              <w:rPr>
                <w:b/>
                <w:sz w:val="22"/>
                <w:szCs w:val="22"/>
              </w:rPr>
              <w:t>Date:</w:t>
            </w:r>
            <w:r w:rsidRPr="0058012B">
              <w:rPr>
                <w:sz w:val="22"/>
                <w:szCs w:val="22"/>
              </w:rPr>
              <w:t xml:space="preserve"> </w:t>
            </w:r>
          </w:p>
          <w:p w:rsidR="00FD7865" w:rsidRPr="0058012B" w:rsidRDefault="0096166B" w:rsidP="000A2568">
            <w:pPr>
              <w:jc w:val="both"/>
              <w:rPr>
                <w:sz w:val="22"/>
                <w:szCs w:val="22"/>
              </w:rPr>
            </w:pPr>
            <w:r w:rsidRPr="0058012B">
              <w:rPr>
                <w:sz w:val="22"/>
                <w:szCs w:val="22"/>
              </w:rPr>
              <w:t>Feb 2015</w:t>
            </w:r>
          </w:p>
        </w:tc>
        <w:tc>
          <w:tcPr>
            <w:tcW w:w="3969" w:type="dxa"/>
            <w:shd w:val="clear" w:color="auto" w:fill="CCFFCC"/>
          </w:tcPr>
          <w:p w:rsidR="00FD7865" w:rsidRPr="0058012B" w:rsidRDefault="00FD7865" w:rsidP="000A2568">
            <w:pPr>
              <w:jc w:val="both"/>
              <w:rPr>
                <w:color w:val="FF0000"/>
                <w:sz w:val="22"/>
                <w:szCs w:val="22"/>
              </w:rPr>
            </w:pPr>
            <w:r w:rsidRPr="0058012B">
              <w:rPr>
                <w:b/>
                <w:sz w:val="22"/>
                <w:szCs w:val="22"/>
              </w:rPr>
              <w:t>Assessed by</w:t>
            </w:r>
            <w:r w:rsidRPr="0058012B">
              <w:rPr>
                <w:sz w:val="22"/>
                <w:szCs w:val="22"/>
              </w:rPr>
              <w:t xml:space="preserve">: </w:t>
            </w:r>
          </w:p>
          <w:p w:rsidR="00FD7865" w:rsidRPr="0058012B" w:rsidRDefault="0096166B" w:rsidP="000A2568">
            <w:pPr>
              <w:jc w:val="both"/>
              <w:rPr>
                <w:sz w:val="22"/>
                <w:szCs w:val="22"/>
              </w:rPr>
            </w:pPr>
            <w:r w:rsidRPr="0058012B">
              <w:rPr>
                <w:sz w:val="22"/>
                <w:szCs w:val="22"/>
              </w:rPr>
              <w:t>Colin Levy</w:t>
            </w:r>
          </w:p>
        </w:tc>
        <w:tc>
          <w:tcPr>
            <w:tcW w:w="3260" w:type="dxa"/>
            <w:shd w:val="clear" w:color="auto" w:fill="CCFFCC"/>
          </w:tcPr>
          <w:p w:rsidR="00FD7865" w:rsidRPr="0058012B" w:rsidRDefault="00FD7865" w:rsidP="000A2568">
            <w:pPr>
              <w:jc w:val="both"/>
              <w:rPr>
                <w:sz w:val="22"/>
                <w:szCs w:val="22"/>
              </w:rPr>
            </w:pPr>
            <w:r w:rsidRPr="0058012B">
              <w:rPr>
                <w:b/>
                <w:sz w:val="22"/>
                <w:szCs w:val="22"/>
              </w:rPr>
              <w:t>Validated by</w:t>
            </w:r>
            <w:r w:rsidRPr="0058012B">
              <w:rPr>
                <w:sz w:val="22"/>
                <w:szCs w:val="22"/>
              </w:rPr>
              <w:t xml:space="preserve">: </w:t>
            </w:r>
          </w:p>
          <w:p w:rsidR="00FD7865" w:rsidRPr="0058012B" w:rsidRDefault="0058012B" w:rsidP="000A2568">
            <w:pPr>
              <w:jc w:val="both"/>
              <w:rPr>
                <w:sz w:val="22"/>
                <w:szCs w:val="22"/>
              </w:rPr>
            </w:pPr>
            <w:r w:rsidRPr="0058012B">
              <w:rPr>
                <w:sz w:val="22"/>
                <w:szCs w:val="22"/>
              </w:rPr>
              <w:t>Tanya Aspinall</w:t>
            </w:r>
          </w:p>
        </w:tc>
        <w:tc>
          <w:tcPr>
            <w:tcW w:w="2944" w:type="dxa"/>
            <w:shd w:val="clear" w:color="auto" w:fill="CCFFCC"/>
          </w:tcPr>
          <w:p w:rsidR="0096166B" w:rsidRPr="0058012B" w:rsidRDefault="00FD7865" w:rsidP="000A2568">
            <w:pPr>
              <w:jc w:val="both"/>
              <w:rPr>
                <w:sz w:val="22"/>
                <w:szCs w:val="22"/>
              </w:rPr>
            </w:pPr>
            <w:r w:rsidRPr="0058012B">
              <w:rPr>
                <w:b/>
                <w:sz w:val="22"/>
                <w:szCs w:val="22"/>
              </w:rPr>
              <w:t>Location</w:t>
            </w:r>
            <w:r w:rsidRPr="0058012B">
              <w:rPr>
                <w:sz w:val="22"/>
                <w:szCs w:val="22"/>
              </w:rPr>
              <w:t>: MIB</w:t>
            </w:r>
          </w:p>
          <w:p w:rsidR="0096166B" w:rsidRPr="0058012B" w:rsidRDefault="0096166B" w:rsidP="0096166B">
            <w:pPr>
              <w:rPr>
                <w:sz w:val="22"/>
                <w:szCs w:val="22"/>
              </w:rPr>
            </w:pPr>
            <w:r w:rsidRPr="0058012B">
              <w:rPr>
                <w:sz w:val="22"/>
                <w:szCs w:val="22"/>
              </w:rPr>
              <w:t>LG</w:t>
            </w:r>
            <w:r w:rsidR="00C57158">
              <w:rPr>
                <w:sz w:val="22"/>
                <w:szCs w:val="22"/>
              </w:rPr>
              <w:t>.</w:t>
            </w:r>
            <w:bookmarkStart w:id="0" w:name="_GoBack"/>
            <w:bookmarkEnd w:id="0"/>
            <w:r w:rsidRPr="0058012B">
              <w:rPr>
                <w:sz w:val="22"/>
                <w:szCs w:val="22"/>
              </w:rPr>
              <w:t>027</w:t>
            </w:r>
          </w:p>
          <w:p w:rsidR="00FD7865" w:rsidRPr="0058012B" w:rsidRDefault="00FD7865" w:rsidP="0096166B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CCFFCC"/>
          </w:tcPr>
          <w:p w:rsidR="00FD7865" w:rsidRPr="0058012B" w:rsidRDefault="00FD7865" w:rsidP="000A2568">
            <w:pPr>
              <w:jc w:val="both"/>
              <w:rPr>
                <w:b/>
                <w:sz w:val="22"/>
                <w:szCs w:val="22"/>
              </w:rPr>
            </w:pPr>
            <w:r w:rsidRPr="0058012B">
              <w:rPr>
                <w:b/>
                <w:sz w:val="22"/>
                <w:szCs w:val="22"/>
              </w:rPr>
              <w:t xml:space="preserve">Review date: </w:t>
            </w:r>
          </w:p>
          <w:p w:rsidR="00FD7865" w:rsidRPr="0058012B" w:rsidRDefault="0096166B" w:rsidP="000A2568">
            <w:pPr>
              <w:jc w:val="both"/>
              <w:rPr>
                <w:sz w:val="22"/>
                <w:szCs w:val="22"/>
              </w:rPr>
            </w:pPr>
            <w:r w:rsidRPr="0058012B">
              <w:rPr>
                <w:sz w:val="22"/>
                <w:szCs w:val="22"/>
              </w:rPr>
              <w:t>Feb 2016</w:t>
            </w:r>
          </w:p>
        </w:tc>
      </w:tr>
    </w:tbl>
    <w:p w:rsidR="00FD7865" w:rsidRPr="0058012B" w:rsidRDefault="00FD7865">
      <w:pPr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5"/>
      </w:tblGrid>
      <w:tr w:rsidR="00B613A2" w:rsidRPr="0058012B">
        <w:trPr>
          <w:cantSplit/>
          <w:tblHeader/>
          <w:jc w:val="center"/>
        </w:trPr>
        <w:tc>
          <w:tcPr>
            <w:tcW w:w="14175" w:type="dxa"/>
          </w:tcPr>
          <w:p w:rsidR="002D7ABB" w:rsidRPr="0058012B" w:rsidRDefault="00B613A2" w:rsidP="000A2568">
            <w:pPr>
              <w:jc w:val="both"/>
              <w:rPr>
                <w:sz w:val="22"/>
                <w:szCs w:val="22"/>
              </w:rPr>
            </w:pPr>
            <w:r w:rsidRPr="0058012B">
              <w:rPr>
                <w:b/>
                <w:sz w:val="22"/>
                <w:szCs w:val="22"/>
              </w:rPr>
              <w:t>Task</w:t>
            </w:r>
            <w:r w:rsidRPr="0058012B">
              <w:rPr>
                <w:sz w:val="22"/>
                <w:szCs w:val="22"/>
              </w:rPr>
              <w:t>:</w:t>
            </w:r>
            <w:r w:rsidR="002D7ABB" w:rsidRPr="0058012B">
              <w:rPr>
                <w:sz w:val="22"/>
                <w:szCs w:val="22"/>
              </w:rPr>
              <w:t xml:space="preserve"> </w:t>
            </w:r>
          </w:p>
          <w:p w:rsidR="005650C7" w:rsidRPr="0058012B" w:rsidRDefault="0096166B" w:rsidP="000A2568">
            <w:pPr>
              <w:ind w:left="567"/>
              <w:jc w:val="both"/>
              <w:rPr>
                <w:sz w:val="22"/>
                <w:szCs w:val="22"/>
              </w:rPr>
            </w:pPr>
            <w:r w:rsidRPr="0058012B">
              <w:rPr>
                <w:sz w:val="22"/>
                <w:szCs w:val="22"/>
              </w:rPr>
              <w:t xml:space="preserve">Use of the Single crystal </w:t>
            </w:r>
            <w:proofErr w:type="spellStart"/>
            <w:r w:rsidRPr="0058012B">
              <w:rPr>
                <w:sz w:val="22"/>
                <w:szCs w:val="22"/>
              </w:rPr>
              <w:t>microspectrophotometer</w:t>
            </w:r>
            <w:proofErr w:type="spellEnd"/>
            <w:r w:rsidRPr="0058012B">
              <w:rPr>
                <w:sz w:val="22"/>
                <w:szCs w:val="22"/>
              </w:rPr>
              <w:t xml:space="preserve"> (4DX)</w:t>
            </w:r>
          </w:p>
          <w:p w:rsidR="0096166B" w:rsidRPr="0058012B" w:rsidRDefault="0096166B" w:rsidP="000A2568">
            <w:pPr>
              <w:ind w:left="567"/>
              <w:jc w:val="both"/>
              <w:rPr>
                <w:sz w:val="22"/>
                <w:szCs w:val="22"/>
              </w:rPr>
            </w:pPr>
            <w:r w:rsidRPr="0058012B">
              <w:rPr>
                <w:sz w:val="22"/>
                <w:szCs w:val="22"/>
              </w:rPr>
              <w:t xml:space="preserve">Handling samples mounted in </w:t>
            </w:r>
            <w:proofErr w:type="spellStart"/>
            <w:r w:rsidRPr="0058012B">
              <w:rPr>
                <w:sz w:val="22"/>
                <w:szCs w:val="22"/>
              </w:rPr>
              <w:t>cryo</w:t>
            </w:r>
            <w:proofErr w:type="spellEnd"/>
            <w:r w:rsidRPr="0058012B">
              <w:rPr>
                <w:sz w:val="22"/>
                <w:szCs w:val="22"/>
              </w:rPr>
              <w:t xml:space="preserve"> loops</w:t>
            </w:r>
          </w:p>
          <w:p w:rsidR="0096166B" w:rsidRPr="0058012B" w:rsidRDefault="0096166B" w:rsidP="000A2568">
            <w:pPr>
              <w:ind w:left="567"/>
              <w:jc w:val="both"/>
              <w:rPr>
                <w:sz w:val="22"/>
                <w:szCs w:val="22"/>
              </w:rPr>
            </w:pPr>
            <w:r w:rsidRPr="0058012B">
              <w:rPr>
                <w:sz w:val="22"/>
                <w:szCs w:val="22"/>
              </w:rPr>
              <w:t>Use of UV lights source.</w:t>
            </w:r>
          </w:p>
          <w:p w:rsidR="0005133D" w:rsidRPr="0058012B" w:rsidRDefault="0005133D" w:rsidP="000A2568">
            <w:pPr>
              <w:jc w:val="both"/>
              <w:rPr>
                <w:sz w:val="22"/>
                <w:szCs w:val="22"/>
              </w:rPr>
            </w:pPr>
          </w:p>
        </w:tc>
      </w:tr>
    </w:tbl>
    <w:p w:rsidR="0020100F" w:rsidRPr="0058012B" w:rsidRDefault="0020100F" w:rsidP="000A2568">
      <w:pPr>
        <w:jc w:val="both"/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9"/>
        <w:gridCol w:w="1559"/>
        <w:gridCol w:w="1417"/>
        <w:gridCol w:w="6521"/>
        <w:gridCol w:w="1055"/>
        <w:gridCol w:w="984"/>
      </w:tblGrid>
      <w:tr w:rsidR="0020100F" w:rsidRPr="0058012B" w:rsidTr="0058012B">
        <w:trPr>
          <w:cantSplit/>
          <w:tblHeader/>
          <w:jc w:val="center"/>
        </w:trPr>
        <w:tc>
          <w:tcPr>
            <w:tcW w:w="2639" w:type="dxa"/>
            <w:shd w:val="clear" w:color="auto" w:fill="CCFFCC"/>
          </w:tcPr>
          <w:p w:rsidR="0020100F" w:rsidRPr="0058012B" w:rsidRDefault="0020100F" w:rsidP="000A2568">
            <w:pPr>
              <w:jc w:val="both"/>
              <w:rPr>
                <w:b/>
                <w:sz w:val="22"/>
                <w:szCs w:val="22"/>
              </w:rPr>
            </w:pPr>
            <w:r w:rsidRPr="0058012B">
              <w:rPr>
                <w:b/>
                <w:sz w:val="22"/>
                <w:szCs w:val="22"/>
              </w:rPr>
              <w:t>Activity</w:t>
            </w:r>
            <w:r w:rsidR="002D7ABB" w:rsidRPr="0058012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CCFFCC"/>
          </w:tcPr>
          <w:p w:rsidR="0020100F" w:rsidRPr="0058012B" w:rsidRDefault="0020100F" w:rsidP="000A2568">
            <w:pPr>
              <w:jc w:val="both"/>
              <w:rPr>
                <w:b/>
                <w:sz w:val="22"/>
                <w:szCs w:val="22"/>
              </w:rPr>
            </w:pPr>
            <w:r w:rsidRPr="0058012B">
              <w:rPr>
                <w:b/>
                <w:sz w:val="22"/>
                <w:szCs w:val="22"/>
              </w:rPr>
              <w:t>Hazard</w:t>
            </w:r>
            <w:r w:rsidR="002D7ABB" w:rsidRPr="0058012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CCFFCC"/>
          </w:tcPr>
          <w:p w:rsidR="0020100F" w:rsidRPr="0058012B" w:rsidRDefault="0020100F" w:rsidP="000A2568">
            <w:pPr>
              <w:jc w:val="both"/>
              <w:rPr>
                <w:sz w:val="22"/>
                <w:szCs w:val="22"/>
              </w:rPr>
            </w:pPr>
            <w:r w:rsidRPr="0058012B">
              <w:rPr>
                <w:b/>
                <w:sz w:val="22"/>
                <w:szCs w:val="22"/>
              </w:rPr>
              <w:t>Person(s) in danger</w:t>
            </w:r>
            <w:r w:rsidR="002D7ABB" w:rsidRPr="0058012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shd w:val="clear" w:color="auto" w:fill="CCFFCC"/>
          </w:tcPr>
          <w:p w:rsidR="0020100F" w:rsidRPr="0058012B" w:rsidRDefault="0020100F" w:rsidP="000A2568">
            <w:pPr>
              <w:jc w:val="both"/>
              <w:rPr>
                <w:sz w:val="22"/>
                <w:szCs w:val="22"/>
              </w:rPr>
            </w:pPr>
            <w:r w:rsidRPr="0058012B">
              <w:rPr>
                <w:b/>
                <w:sz w:val="22"/>
                <w:szCs w:val="22"/>
              </w:rPr>
              <w:t>Existing measures to control risk</w:t>
            </w:r>
            <w:r w:rsidR="002D7ABB" w:rsidRPr="005801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5" w:type="dxa"/>
            <w:shd w:val="clear" w:color="auto" w:fill="CCFFCC"/>
          </w:tcPr>
          <w:p w:rsidR="0020100F" w:rsidRPr="0058012B" w:rsidRDefault="00BD53AC" w:rsidP="0058012B">
            <w:pPr>
              <w:jc w:val="both"/>
              <w:rPr>
                <w:sz w:val="22"/>
                <w:szCs w:val="22"/>
              </w:rPr>
            </w:pPr>
            <w:r w:rsidRPr="0058012B">
              <w:rPr>
                <w:b/>
                <w:sz w:val="22"/>
                <w:szCs w:val="22"/>
              </w:rPr>
              <w:t>Risk rating</w:t>
            </w:r>
            <w:r w:rsidR="002D7ABB" w:rsidRPr="005801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4" w:type="dxa"/>
            <w:shd w:val="clear" w:color="auto" w:fill="CCFFCC"/>
          </w:tcPr>
          <w:p w:rsidR="0020100F" w:rsidRPr="0058012B" w:rsidRDefault="0020100F" w:rsidP="000A2568">
            <w:pPr>
              <w:jc w:val="both"/>
              <w:rPr>
                <w:b/>
                <w:sz w:val="22"/>
                <w:szCs w:val="22"/>
              </w:rPr>
            </w:pPr>
            <w:r w:rsidRPr="0058012B">
              <w:rPr>
                <w:b/>
                <w:sz w:val="22"/>
                <w:szCs w:val="22"/>
              </w:rPr>
              <w:t>Result</w:t>
            </w:r>
            <w:r w:rsidR="002D7ABB" w:rsidRPr="0058012B">
              <w:rPr>
                <w:b/>
                <w:sz w:val="22"/>
                <w:szCs w:val="22"/>
              </w:rPr>
              <w:t xml:space="preserve"> </w:t>
            </w:r>
          </w:p>
          <w:p w:rsidR="00690FCB" w:rsidRPr="0058012B" w:rsidRDefault="00690FCB" w:rsidP="000A2568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20100F" w:rsidRPr="0058012B" w:rsidTr="0058012B">
        <w:trPr>
          <w:cantSplit/>
          <w:jc w:val="center"/>
        </w:trPr>
        <w:tc>
          <w:tcPr>
            <w:tcW w:w="2639" w:type="dxa"/>
          </w:tcPr>
          <w:p w:rsidR="002D7ABB" w:rsidRPr="0058012B" w:rsidRDefault="002D7ABB" w:rsidP="000A2568">
            <w:pPr>
              <w:jc w:val="both"/>
              <w:rPr>
                <w:sz w:val="22"/>
                <w:szCs w:val="22"/>
              </w:rPr>
            </w:pPr>
          </w:p>
          <w:p w:rsidR="00690FCB" w:rsidRPr="0058012B" w:rsidRDefault="0096166B" w:rsidP="000A2568">
            <w:pPr>
              <w:jc w:val="both"/>
              <w:rPr>
                <w:sz w:val="22"/>
                <w:szCs w:val="22"/>
              </w:rPr>
            </w:pPr>
            <w:proofErr w:type="spellStart"/>
            <w:r w:rsidRPr="0058012B">
              <w:rPr>
                <w:sz w:val="22"/>
                <w:szCs w:val="22"/>
              </w:rPr>
              <w:t>Microspectrophotometer</w:t>
            </w:r>
            <w:proofErr w:type="spellEnd"/>
          </w:p>
        </w:tc>
        <w:tc>
          <w:tcPr>
            <w:tcW w:w="1559" w:type="dxa"/>
          </w:tcPr>
          <w:p w:rsidR="0020100F" w:rsidRPr="0058012B" w:rsidRDefault="0096166B" w:rsidP="000A2568">
            <w:pPr>
              <w:jc w:val="both"/>
              <w:rPr>
                <w:sz w:val="22"/>
                <w:szCs w:val="22"/>
              </w:rPr>
            </w:pPr>
            <w:r w:rsidRPr="0058012B">
              <w:rPr>
                <w:sz w:val="22"/>
                <w:szCs w:val="22"/>
              </w:rPr>
              <w:t>UV Source</w:t>
            </w:r>
          </w:p>
        </w:tc>
        <w:tc>
          <w:tcPr>
            <w:tcW w:w="1417" w:type="dxa"/>
          </w:tcPr>
          <w:p w:rsidR="0020100F" w:rsidRPr="0058012B" w:rsidRDefault="0096166B" w:rsidP="000A2568">
            <w:pPr>
              <w:jc w:val="both"/>
              <w:rPr>
                <w:sz w:val="22"/>
                <w:szCs w:val="22"/>
              </w:rPr>
            </w:pPr>
            <w:r w:rsidRPr="0058012B">
              <w:rPr>
                <w:sz w:val="22"/>
                <w:szCs w:val="22"/>
              </w:rPr>
              <w:t>User / Observer</w:t>
            </w:r>
          </w:p>
        </w:tc>
        <w:tc>
          <w:tcPr>
            <w:tcW w:w="6521" w:type="dxa"/>
          </w:tcPr>
          <w:p w:rsidR="0020100F" w:rsidRPr="0058012B" w:rsidRDefault="0096166B" w:rsidP="000A2568">
            <w:pPr>
              <w:jc w:val="both"/>
              <w:rPr>
                <w:sz w:val="22"/>
                <w:szCs w:val="22"/>
              </w:rPr>
            </w:pPr>
            <w:r w:rsidRPr="0058012B">
              <w:rPr>
                <w:sz w:val="22"/>
                <w:szCs w:val="22"/>
              </w:rPr>
              <w:t xml:space="preserve">No specific UV risk in standard operation. This equipment has been </w:t>
            </w:r>
            <w:r w:rsidR="0058012B">
              <w:rPr>
                <w:sz w:val="22"/>
                <w:szCs w:val="22"/>
              </w:rPr>
              <w:t xml:space="preserve">assessed by Katherine Sullivan </w:t>
            </w:r>
            <w:r w:rsidRPr="0058012B">
              <w:rPr>
                <w:sz w:val="22"/>
                <w:szCs w:val="22"/>
              </w:rPr>
              <w:t>as posing no specific UV risk during normal operation.</w:t>
            </w:r>
          </w:p>
          <w:p w:rsidR="0096166B" w:rsidRPr="0058012B" w:rsidRDefault="0096166B" w:rsidP="000A2568">
            <w:pPr>
              <w:jc w:val="both"/>
              <w:rPr>
                <w:sz w:val="22"/>
                <w:szCs w:val="22"/>
              </w:rPr>
            </w:pPr>
            <w:r w:rsidRPr="0058012B">
              <w:rPr>
                <w:sz w:val="22"/>
                <w:szCs w:val="22"/>
              </w:rPr>
              <w:t>Do not dismantle or alter the optics when the unit is powered on.</w:t>
            </w:r>
          </w:p>
          <w:p w:rsidR="0096166B" w:rsidRPr="0058012B" w:rsidRDefault="0096166B" w:rsidP="000A2568">
            <w:pPr>
              <w:jc w:val="both"/>
              <w:rPr>
                <w:sz w:val="22"/>
                <w:szCs w:val="22"/>
              </w:rPr>
            </w:pPr>
            <w:r w:rsidRPr="0058012B">
              <w:rPr>
                <w:sz w:val="22"/>
                <w:szCs w:val="22"/>
              </w:rPr>
              <w:t>Do not alter the UV light path whilst the unit is switched on.</w:t>
            </w:r>
          </w:p>
          <w:p w:rsidR="0096166B" w:rsidRPr="0058012B" w:rsidRDefault="0096166B" w:rsidP="000A2568">
            <w:pPr>
              <w:jc w:val="both"/>
              <w:rPr>
                <w:sz w:val="22"/>
                <w:szCs w:val="22"/>
              </w:rPr>
            </w:pPr>
            <w:r w:rsidRPr="0058012B">
              <w:rPr>
                <w:sz w:val="22"/>
                <w:szCs w:val="22"/>
              </w:rPr>
              <w:t>Do not exchange optics cables with the unit switched on.</w:t>
            </w:r>
          </w:p>
        </w:tc>
        <w:tc>
          <w:tcPr>
            <w:tcW w:w="1055" w:type="dxa"/>
          </w:tcPr>
          <w:p w:rsidR="0020100F" w:rsidRPr="0058012B" w:rsidRDefault="0096166B" w:rsidP="000A2568">
            <w:pPr>
              <w:jc w:val="both"/>
              <w:rPr>
                <w:sz w:val="22"/>
                <w:szCs w:val="22"/>
              </w:rPr>
            </w:pPr>
            <w:r w:rsidRPr="0058012B">
              <w:rPr>
                <w:sz w:val="22"/>
                <w:szCs w:val="22"/>
              </w:rPr>
              <w:t>L</w:t>
            </w:r>
          </w:p>
        </w:tc>
        <w:tc>
          <w:tcPr>
            <w:tcW w:w="984" w:type="dxa"/>
          </w:tcPr>
          <w:p w:rsidR="0020100F" w:rsidRPr="0058012B" w:rsidRDefault="0096166B" w:rsidP="000A2568">
            <w:pPr>
              <w:jc w:val="both"/>
              <w:rPr>
                <w:sz w:val="22"/>
                <w:szCs w:val="22"/>
              </w:rPr>
            </w:pPr>
            <w:r w:rsidRPr="0058012B">
              <w:rPr>
                <w:sz w:val="22"/>
                <w:szCs w:val="22"/>
              </w:rPr>
              <w:t>T</w:t>
            </w:r>
          </w:p>
        </w:tc>
      </w:tr>
      <w:tr w:rsidR="0020100F" w:rsidRPr="0058012B" w:rsidTr="0058012B">
        <w:trPr>
          <w:cantSplit/>
          <w:jc w:val="center"/>
        </w:trPr>
        <w:tc>
          <w:tcPr>
            <w:tcW w:w="2639" w:type="dxa"/>
          </w:tcPr>
          <w:p w:rsidR="002D7ABB" w:rsidRPr="0058012B" w:rsidRDefault="002D7ABB" w:rsidP="000A2568">
            <w:pPr>
              <w:jc w:val="both"/>
              <w:rPr>
                <w:sz w:val="22"/>
                <w:szCs w:val="22"/>
              </w:rPr>
            </w:pPr>
          </w:p>
          <w:p w:rsidR="00690FCB" w:rsidRPr="0058012B" w:rsidRDefault="0096166B" w:rsidP="000A2568">
            <w:pPr>
              <w:jc w:val="both"/>
              <w:rPr>
                <w:sz w:val="22"/>
                <w:szCs w:val="22"/>
              </w:rPr>
            </w:pPr>
            <w:proofErr w:type="spellStart"/>
            <w:r w:rsidRPr="0058012B">
              <w:rPr>
                <w:sz w:val="22"/>
                <w:szCs w:val="22"/>
              </w:rPr>
              <w:t>Cryo</w:t>
            </w:r>
            <w:proofErr w:type="spellEnd"/>
            <w:r w:rsidRPr="0058012B">
              <w:rPr>
                <w:sz w:val="22"/>
                <w:szCs w:val="22"/>
              </w:rPr>
              <w:t xml:space="preserve"> Loops</w:t>
            </w:r>
          </w:p>
        </w:tc>
        <w:tc>
          <w:tcPr>
            <w:tcW w:w="1559" w:type="dxa"/>
          </w:tcPr>
          <w:p w:rsidR="0020100F" w:rsidRPr="0058012B" w:rsidRDefault="0096166B" w:rsidP="000A2568">
            <w:pPr>
              <w:jc w:val="both"/>
              <w:rPr>
                <w:sz w:val="22"/>
                <w:szCs w:val="22"/>
              </w:rPr>
            </w:pPr>
            <w:r w:rsidRPr="0058012B">
              <w:rPr>
                <w:sz w:val="22"/>
                <w:szCs w:val="22"/>
              </w:rPr>
              <w:t>Potential Sharps hazard</w:t>
            </w:r>
          </w:p>
        </w:tc>
        <w:tc>
          <w:tcPr>
            <w:tcW w:w="1417" w:type="dxa"/>
          </w:tcPr>
          <w:p w:rsidR="0020100F" w:rsidRPr="0058012B" w:rsidRDefault="0096166B" w:rsidP="000A2568">
            <w:pPr>
              <w:jc w:val="both"/>
              <w:rPr>
                <w:sz w:val="22"/>
                <w:szCs w:val="22"/>
              </w:rPr>
            </w:pPr>
            <w:r w:rsidRPr="0058012B">
              <w:rPr>
                <w:sz w:val="22"/>
                <w:szCs w:val="22"/>
              </w:rPr>
              <w:t>User</w:t>
            </w:r>
          </w:p>
        </w:tc>
        <w:tc>
          <w:tcPr>
            <w:tcW w:w="6521" w:type="dxa"/>
          </w:tcPr>
          <w:p w:rsidR="0020100F" w:rsidRPr="0058012B" w:rsidRDefault="0096166B" w:rsidP="000A2568">
            <w:pPr>
              <w:jc w:val="both"/>
              <w:rPr>
                <w:sz w:val="22"/>
                <w:szCs w:val="22"/>
              </w:rPr>
            </w:pPr>
            <w:proofErr w:type="spellStart"/>
            <w:r w:rsidRPr="0058012B">
              <w:rPr>
                <w:sz w:val="22"/>
                <w:szCs w:val="22"/>
              </w:rPr>
              <w:t>Cryo</w:t>
            </w:r>
            <w:proofErr w:type="spellEnd"/>
            <w:r w:rsidRPr="0058012B">
              <w:rPr>
                <w:sz w:val="22"/>
                <w:szCs w:val="22"/>
              </w:rPr>
              <w:t xml:space="preserve"> loops are sharp and all users should treat them appropriately during normal use. Damaged or used loop must be disposed of in the sharps bins provided.</w:t>
            </w:r>
          </w:p>
        </w:tc>
        <w:tc>
          <w:tcPr>
            <w:tcW w:w="1055" w:type="dxa"/>
          </w:tcPr>
          <w:p w:rsidR="0020100F" w:rsidRPr="0058012B" w:rsidRDefault="0096166B" w:rsidP="000A2568">
            <w:pPr>
              <w:jc w:val="both"/>
              <w:rPr>
                <w:sz w:val="22"/>
                <w:szCs w:val="22"/>
              </w:rPr>
            </w:pPr>
            <w:r w:rsidRPr="0058012B">
              <w:rPr>
                <w:sz w:val="22"/>
                <w:szCs w:val="22"/>
              </w:rPr>
              <w:t>L</w:t>
            </w:r>
          </w:p>
        </w:tc>
        <w:tc>
          <w:tcPr>
            <w:tcW w:w="984" w:type="dxa"/>
          </w:tcPr>
          <w:p w:rsidR="0020100F" w:rsidRPr="0058012B" w:rsidRDefault="0096166B" w:rsidP="000A2568">
            <w:pPr>
              <w:jc w:val="both"/>
              <w:rPr>
                <w:sz w:val="22"/>
                <w:szCs w:val="22"/>
              </w:rPr>
            </w:pPr>
            <w:r w:rsidRPr="0058012B">
              <w:rPr>
                <w:sz w:val="22"/>
                <w:szCs w:val="22"/>
              </w:rPr>
              <w:t>T</w:t>
            </w:r>
          </w:p>
        </w:tc>
      </w:tr>
      <w:tr w:rsidR="0020100F" w:rsidRPr="0058012B" w:rsidTr="0058012B">
        <w:trPr>
          <w:cantSplit/>
          <w:jc w:val="center"/>
        </w:trPr>
        <w:tc>
          <w:tcPr>
            <w:tcW w:w="2639" w:type="dxa"/>
          </w:tcPr>
          <w:p w:rsidR="002D7ABB" w:rsidRPr="0058012B" w:rsidRDefault="002D7ABB" w:rsidP="000A2568">
            <w:pPr>
              <w:jc w:val="both"/>
              <w:rPr>
                <w:sz w:val="22"/>
                <w:szCs w:val="22"/>
              </w:rPr>
            </w:pPr>
          </w:p>
          <w:p w:rsidR="00690FCB" w:rsidRPr="0058012B" w:rsidRDefault="0096166B" w:rsidP="000A2568">
            <w:pPr>
              <w:jc w:val="both"/>
              <w:rPr>
                <w:sz w:val="22"/>
                <w:szCs w:val="22"/>
              </w:rPr>
            </w:pPr>
            <w:r w:rsidRPr="0058012B">
              <w:rPr>
                <w:sz w:val="22"/>
                <w:szCs w:val="22"/>
              </w:rPr>
              <w:t>Monocular Microscope</w:t>
            </w:r>
          </w:p>
        </w:tc>
        <w:tc>
          <w:tcPr>
            <w:tcW w:w="1559" w:type="dxa"/>
          </w:tcPr>
          <w:p w:rsidR="0020100F" w:rsidRPr="0058012B" w:rsidRDefault="0096166B" w:rsidP="000A2568">
            <w:pPr>
              <w:jc w:val="both"/>
              <w:rPr>
                <w:sz w:val="22"/>
                <w:szCs w:val="22"/>
              </w:rPr>
            </w:pPr>
            <w:r w:rsidRPr="0058012B">
              <w:rPr>
                <w:sz w:val="22"/>
                <w:szCs w:val="22"/>
              </w:rPr>
              <w:t>Potential for eye injury</w:t>
            </w:r>
          </w:p>
        </w:tc>
        <w:tc>
          <w:tcPr>
            <w:tcW w:w="1417" w:type="dxa"/>
          </w:tcPr>
          <w:p w:rsidR="0020100F" w:rsidRPr="0058012B" w:rsidRDefault="0096166B" w:rsidP="000A2568">
            <w:pPr>
              <w:jc w:val="both"/>
              <w:rPr>
                <w:sz w:val="22"/>
                <w:szCs w:val="22"/>
              </w:rPr>
            </w:pPr>
            <w:r w:rsidRPr="0058012B">
              <w:rPr>
                <w:sz w:val="22"/>
                <w:szCs w:val="22"/>
              </w:rPr>
              <w:t>User</w:t>
            </w:r>
          </w:p>
        </w:tc>
        <w:tc>
          <w:tcPr>
            <w:tcW w:w="6521" w:type="dxa"/>
          </w:tcPr>
          <w:p w:rsidR="0020100F" w:rsidRPr="0058012B" w:rsidRDefault="0096166B" w:rsidP="000A2568">
            <w:pPr>
              <w:jc w:val="both"/>
              <w:rPr>
                <w:sz w:val="22"/>
                <w:szCs w:val="22"/>
              </w:rPr>
            </w:pPr>
            <w:r w:rsidRPr="0058012B">
              <w:rPr>
                <w:sz w:val="22"/>
                <w:szCs w:val="22"/>
              </w:rPr>
              <w:t>This apparatus is single user at any given time and should not be operated in a crowded envi</w:t>
            </w:r>
            <w:r w:rsidR="0058012B">
              <w:rPr>
                <w:sz w:val="22"/>
                <w:szCs w:val="22"/>
              </w:rPr>
              <w:t>ronment. The potential for inju</w:t>
            </w:r>
            <w:r w:rsidRPr="0058012B">
              <w:rPr>
                <w:sz w:val="22"/>
                <w:szCs w:val="22"/>
              </w:rPr>
              <w:t xml:space="preserve">ry arises through the user being knocked into the microscope whilst </w:t>
            </w:r>
            <w:proofErr w:type="spellStart"/>
            <w:r w:rsidRPr="0058012B">
              <w:rPr>
                <w:sz w:val="22"/>
                <w:szCs w:val="22"/>
              </w:rPr>
              <w:t>centering</w:t>
            </w:r>
            <w:proofErr w:type="spellEnd"/>
            <w:r w:rsidRPr="0058012B">
              <w:rPr>
                <w:sz w:val="22"/>
                <w:szCs w:val="22"/>
              </w:rPr>
              <w:t xml:space="preserve"> the sample.</w:t>
            </w:r>
          </w:p>
        </w:tc>
        <w:tc>
          <w:tcPr>
            <w:tcW w:w="1055" w:type="dxa"/>
          </w:tcPr>
          <w:p w:rsidR="0020100F" w:rsidRPr="0058012B" w:rsidRDefault="0096166B" w:rsidP="000A2568">
            <w:pPr>
              <w:jc w:val="both"/>
              <w:rPr>
                <w:sz w:val="22"/>
                <w:szCs w:val="22"/>
              </w:rPr>
            </w:pPr>
            <w:r w:rsidRPr="0058012B">
              <w:rPr>
                <w:sz w:val="22"/>
                <w:szCs w:val="22"/>
              </w:rPr>
              <w:t>L</w:t>
            </w:r>
          </w:p>
        </w:tc>
        <w:tc>
          <w:tcPr>
            <w:tcW w:w="984" w:type="dxa"/>
          </w:tcPr>
          <w:p w:rsidR="0020100F" w:rsidRPr="0058012B" w:rsidRDefault="0096166B" w:rsidP="000A2568">
            <w:pPr>
              <w:jc w:val="both"/>
              <w:rPr>
                <w:sz w:val="22"/>
                <w:szCs w:val="22"/>
              </w:rPr>
            </w:pPr>
            <w:r w:rsidRPr="0058012B">
              <w:rPr>
                <w:sz w:val="22"/>
                <w:szCs w:val="22"/>
              </w:rPr>
              <w:t>T</w:t>
            </w:r>
          </w:p>
        </w:tc>
      </w:tr>
      <w:tr w:rsidR="0096166B" w:rsidRPr="0058012B" w:rsidTr="0058012B">
        <w:trPr>
          <w:cantSplit/>
          <w:jc w:val="center"/>
        </w:trPr>
        <w:tc>
          <w:tcPr>
            <w:tcW w:w="2639" w:type="dxa"/>
          </w:tcPr>
          <w:p w:rsidR="0096166B" w:rsidRPr="0058012B" w:rsidRDefault="0096166B" w:rsidP="000A2568">
            <w:pPr>
              <w:jc w:val="both"/>
              <w:rPr>
                <w:sz w:val="22"/>
                <w:szCs w:val="22"/>
              </w:rPr>
            </w:pPr>
            <w:r w:rsidRPr="0058012B">
              <w:rPr>
                <w:sz w:val="22"/>
                <w:szCs w:val="22"/>
              </w:rPr>
              <w:t>Dark Room</w:t>
            </w:r>
          </w:p>
        </w:tc>
        <w:tc>
          <w:tcPr>
            <w:tcW w:w="1559" w:type="dxa"/>
          </w:tcPr>
          <w:p w:rsidR="0096166B" w:rsidRPr="0058012B" w:rsidRDefault="0096166B" w:rsidP="000A2568">
            <w:pPr>
              <w:jc w:val="both"/>
              <w:rPr>
                <w:sz w:val="22"/>
                <w:szCs w:val="22"/>
              </w:rPr>
            </w:pPr>
            <w:r w:rsidRPr="0058012B">
              <w:rPr>
                <w:sz w:val="22"/>
                <w:szCs w:val="22"/>
              </w:rPr>
              <w:t>Trip / Collision hazard</w:t>
            </w:r>
          </w:p>
        </w:tc>
        <w:tc>
          <w:tcPr>
            <w:tcW w:w="1417" w:type="dxa"/>
          </w:tcPr>
          <w:p w:rsidR="0096166B" w:rsidRPr="0058012B" w:rsidRDefault="0096166B" w:rsidP="000A2568">
            <w:pPr>
              <w:jc w:val="both"/>
              <w:rPr>
                <w:sz w:val="22"/>
                <w:szCs w:val="22"/>
              </w:rPr>
            </w:pPr>
            <w:r w:rsidRPr="0058012B">
              <w:rPr>
                <w:sz w:val="22"/>
                <w:szCs w:val="22"/>
              </w:rPr>
              <w:t>User</w:t>
            </w:r>
          </w:p>
        </w:tc>
        <w:tc>
          <w:tcPr>
            <w:tcW w:w="6521" w:type="dxa"/>
          </w:tcPr>
          <w:p w:rsidR="0096166B" w:rsidRPr="0058012B" w:rsidRDefault="0096166B" w:rsidP="000A2568">
            <w:pPr>
              <w:jc w:val="both"/>
              <w:rPr>
                <w:sz w:val="22"/>
                <w:szCs w:val="22"/>
              </w:rPr>
            </w:pPr>
            <w:r w:rsidRPr="0058012B">
              <w:rPr>
                <w:sz w:val="22"/>
                <w:szCs w:val="22"/>
              </w:rPr>
              <w:t xml:space="preserve">Ensure a clear working space prior to darkening the </w:t>
            </w:r>
            <w:proofErr w:type="gramStart"/>
            <w:r w:rsidRPr="0058012B">
              <w:rPr>
                <w:sz w:val="22"/>
                <w:szCs w:val="22"/>
              </w:rPr>
              <w:t>room,</w:t>
            </w:r>
            <w:proofErr w:type="gramEnd"/>
            <w:r w:rsidRPr="0058012B">
              <w:rPr>
                <w:sz w:val="22"/>
                <w:szCs w:val="22"/>
              </w:rPr>
              <w:t xml:space="preserve"> exit routes must be clear of obstruction at all times. Minimise the time spent working in the dark through careful planning of the experiments to be performed.</w:t>
            </w:r>
          </w:p>
        </w:tc>
        <w:tc>
          <w:tcPr>
            <w:tcW w:w="1055" w:type="dxa"/>
          </w:tcPr>
          <w:p w:rsidR="0096166B" w:rsidRPr="0058012B" w:rsidRDefault="0096166B" w:rsidP="000A2568">
            <w:pPr>
              <w:jc w:val="both"/>
              <w:rPr>
                <w:sz w:val="22"/>
                <w:szCs w:val="22"/>
              </w:rPr>
            </w:pPr>
            <w:r w:rsidRPr="0058012B">
              <w:rPr>
                <w:sz w:val="22"/>
                <w:szCs w:val="22"/>
              </w:rPr>
              <w:t>L</w:t>
            </w:r>
          </w:p>
        </w:tc>
        <w:tc>
          <w:tcPr>
            <w:tcW w:w="984" w:type="dxa"/>
          </w:tcPr>
          <w:p w:rsidR="0096166B" w:rsidRPr="0058012B" w:rsidRDefault="0096166B" w:rsidP="000A2568">
            <w:pPr>
              <w:jc w:val="both"/>
              <w:rPr>
                <w:sz w:val="22"/>
                <w:szCs w:val="22"/>
              </w:rPr>
            </w:pPr>
            <w:r w:rsidRPr="0058012B">
              <w:rPr>
                <w:sz w:val="22"/>
                <w:szCs w:val="22"/>
              </w:rPr>
              <w:t>T</w:t>
            </w:r>
          </w:p>
        </w:tc>
      </w:tr>
    </w:tbl>
    <w:p w:rsidR="005816CD" w:rsidRPr="0058012B" w:rsidRDefault="005816CD" w:rsidP="000A256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5816CD" w:rsidRPr="0058012B" w:rsidTr="00FA3DC0">
        <w:trPr>
          <w:trHeight w:val="577"/>
        </w:trPr>
        <w:tc>
          <w:tcPr>
            <w:tcW w:w="14218" w:type="dxa"/>
          </w:tcPr>
          <w:p w:rsidR="000A2568" w:rsidRPr="0058012B" w:rsidRDefault="000A2568" w:rsidP="00FA3DC0">
            <w:pPr>
              <w:jc w:val="both"/>
              <w:rPr>
                <w:color w:val="FF0000"/>
                <w:sz w:val="22"/>
                <w:szCs w:val="22"/>
              </w:rPr>
            </w:pPr>
            <w:r w:rsidRPr="0058012B">
              <w:rPr>
                <w:b/>
                <w:sz w:val="22"/>
                <w:szCs w:val="22"/>
                <w:u w:val="single"/>
              </w:rPr>
              <w:lastRenderedPageBreak/>
              <w:t>Authorisation</w:t>
            </w:r>
            <w:r w:rsidR="005816CD" w:rsidRPr="0058012B">
              <w:rPr>
                <w:b/>
                <w:sz w:val="22"/>
                <w:szCs w:val="22"/>
                <w:u w:val="single"/>
              </w:rPr>
              <w:t xml:space="preserve"> </w:t>
            </w:r>
            <w:r w:rsidR="003847F9" w:rsidRPr="0058012B">
              <w:rPr>
                <w:b/>
                <w:sz w:val="22"/>
                <w:szCs w:val="22"/>
                <w:u w:val="single"/>
              </w:rPr>
              <w:t xml:space="preserve"> by PI </w:t>
            </w:r>
          </w:p>
          <w:p w:rsidR="000A2568" w:rsidRPr="0058012B" w:rsidRDefault="000A2568" w:rsidP="00FA3DC0">
            <w:pPr>
              <w:jc w:val="both"/>
              <w:rPr>
                <w:b/>
                <w:sz w:val="22"/>
                <w:szCs w:val="22"/>
              </w:rPr>
            </w:pPr>
            <w:r w:rsidRPr="0058012B">
              <w:rPr>
                <w:b/>
                <w:sz w:val="22"/>
                <w:szCs w:val="22"/>
              </w:rPr>
              <w:t>I confirm that I have considered and understand the experim</w:t>
            </w:r>
            <w:r w:rsidR="00FD7865" w:rsidRPr="0058012B">
              <w:rPr>
                <w:b/>
                <w:sz w:val="22"/>
                <w:szCs w:val="22"/>
              </w:rPr>
              <w:t xml:space="preserve">ent and the associated hazards. I am satisfied that all of the hazards have been identified and that the control measures to be followed will reduce the risks to acceptable levels. </w:t>
            </w:r>
          </w:p>
          <w:p w:rsidR="0064739F" w:rsidRPr="0058012B" w:rsidRDefault="0064739F" w:rsidP="00FA3DC0">
            <w:pPr>
              <w:jc w:val="both"/>
              <w:rPr>
                <w:b/>
                <w:sz w:val="22"/>
                <w:szCs w:val="22"/>
              </w:rPr>
            </w:pPr>
          </w:p>
          <w:p w:rsidR="003847F9" w:rsidRPr="0058012B" w:rsidRDefault="003847F9" w:rsidP="00FA3DC0">
            <w:pPr>
              <w:jc w:val="both"/>
              <w:rPr>
                <w:b/>
                <w:sz w:val="22"/>
                <w:szCs w:val="22"/>
              </w:rPr>
            </w:pPr>
            <w:r w:rsidRPr="0058012B">
              <w:rPr>
                <w:b/>
                <w:sz w:val="22"/>
                <w:szCs w:val="22"/>
              </w:rPr>
              <w:t xml:space="preserve">Print name:                                                                   </w:t>
            </w:r>
            <w:r w:rsidR="00FD7865" w:rsidRPr="0058012B">
              <w:rPr>
                <w:b/>
                <w:sz w:val="22"/>
                <w:szCs w:val="22"/>
              </w:rPr>
              <w:t xml:space="preserve">               </w:t>
            </w:r>
            <w:r w:rsidRPr="0058012B">
              <w:rPr>
                <w:b/>
                <w:sz w:val="22"/>
                <w:szCs w:val="22"/>
              </w:rPr>
              <w:t>Signed:</w:t>
            </w:r>
          </w:p>
          <w:p w:rsidR="003847F9" w:rsidRPr="0058012B" w:rsidRDefault="003847F9" w:rsidP="00FA3DC0">
            <w:pPr>
              <w:jc w:val="both"/>
              <w:rPr>
                <w:b/>
                <w:sz w:val="22"/>
                <w:szCs w:val="22"/>
              </w:rPr>
            </w:pPr>
            <w:r w:rsidRPr="0058012B">
              <w:rPr>
                <w:b/>
                <w:sz w:val="22"/>
                <w:szCs w:val="22"/>
              </w:rPr>
              <w:t>Date:</w:t>
            </w:r>
          </w:p>
          <w:p w:rsidR="003847F9" w:rsidRPr="0058012B" w:rsidRDefault="003847F9" w:rsidP="00FA3DC0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847F9" w:rsidRPr="0058012B" w:rsidRDefault="003847F9">
      <w:pPr>
        <w:rPr>
          <w:sz w:val="22"/>
          <w:szCs w:val="22"/>
        </w:rPr>
      </w:pPr>
    </w:p>
    <w:p w:rsidR="000A2568" w:rsidRPr="0058012B" w:rsidRDefault="000A2568" w:rsidP="000A2568">
      <w:pPr>
        <w:jc w:val="both"/>
        <w:rPr>
          <w:sz w:val="22"/>
          <w:szCs w:val="22"/>
        </w:rPr>
      </w:pPr>
      <w:r w:rsidRPr="0058012B">
        <w:rPr>
          <w:b/>
          <w:sz w:val="22"/>
          <w:szCs w:val="22"/>
          <w:u w:val="single"/>
        </w:rPr>
        <w:t>Declaration</w:t>
      </w:r>
      <w:r w:rsidR="003847F9" w:rsidRPr="0058012B">
        <w:rPr>
          <w:b/>
          <w:sz w:val="22"/>
          <w:szCs w:val="22"/>
          <w:u w:val="single"/>
        </w:rPr>
        <w:t xml:space="preserve"> by researcher</w:t>
      </w:r>
    </w:p>
    <w:p w:rsidR="003847F9" w:rsidRPr="0058012B" w:rsidRDefault="000A2568" w:rsidP="000A2568">
      <w:pPr>
        <w:jc w:val="both"/>
        <w:rPr>
          <w:b/>
          <w:sz w:val="22"/>
          <w:szCs w:val="22"/>
        </w:rPr>
      </w:pPr>
      <w:r w:rsidRPr="0058012B">
        <w:rPr>
          <w:b/>
          <w:sz w:val="22"/>
          <w:szCs w:val="22"/>
        </w:rPr>
        <w:t xml:space="preserve">I confirm that I have read this Risk Assessment and </w:t>
      </w:r>
      <w:r w:rsidR="003847F9" w:rsidRPr="0058012B">
        <w:rPr>
          <w:b/>
          <w:sz w:val="22"/>
          <w:szCs w:val="22"/>
        </w:rPr>
        <w:t>that I understand the hazards and risks involved and will follow all of the safety procedures stated.</w:t>
      </w:r>
    </w:p>
    <w:p w:rsidR="0064739F" w:rsidRPr="0058012B" w:rsidRDefault="0064739F" w:rsidP="0064739F">
      <w:pPr>
        <w:jc w:val="both"/>
        <w:rPr>
          <w:b/>
          <w:sz w:val="22"/>
          <w:szCs w:val="22"/>
          <w:u w:val="single"/>
        </w:rPr>
      </w:pPr>
    </w:p>
    <w:p w:rsidR="0064739F" w:rsidRPr="0058012B" w:rsidRDefault="0064739F" w:rsidP="0064739F">
      <w:pPr>
        <w:jc w:val="both"/>
        <w:rPr>
          <w:b/>
          <w:sz w:val="22"/>
          <w:szCs w:val="22"/>
          <w:u w:val="single"/>
        </w:rPr>
      </w:pPr>
    </w:p>
    <w:p w:rsidR="0064739F" w:rsidRPr="0058012B" w:rsidRDefault="0064739F" w:rsidP="0064739F">
      <w:pPr>
        <w:jc w:val="both"/>
        <w:rPr>
          <w:sz w:val="22"/>
          <w:szCs w:val="22"/>
        </w:rPr>
      </w:pPr>
      <w:r w:rsidRPr="0058012B">
        <w:rPr>
          <w:b/>
          <w:sz w:val="22"/>
          <w:szCs w:val="22"/>
          <w:u w:val="single"/>
        </w:rPr>
        <w:t>Declaration by PI</w:t>
      </w:r>
    </w:p>
    <w:p w:rsidR="0064739F" w:rsidRPr="0058012B" w:rsidRDefault="0064739F" w:rsidP="0064739F">
      <w:pPr>
        <w:jc w:val="both"/>
        <w:rPr>
          <w:b/>
          <w:sz w:val="22"/>
          <w:szCs w:val="22"/>
        </w:rPr>
      </w:pPr>
      <w:r w:rsidRPr="0058012B">
        <w:rPr>
          <w:b/>
          <w:sz w:val="22"/>
          <w:szCs w:val="22"/>
        </w:rPr>
        <w:t>I confirm that the researcher who has signed below is competent to undertake the work. My counter-signature indicates that I am happy for the work to proceed.</w:t>
      </w:r>
    </w:p>
    <w:p w:rsidR="0064739F" w:rsidRPr="0058012B" w:rsidRDefault="0064739F" w:rsidP="000A2568">
      <w:pPr>
        <w:jc w:val="both"/>
        <w:rPr>
          <w:sz w:val="22"/>
          <w:szCs w:val="22"/>
        </w:rPr>
      </w:pPr>
    </w:p>
    <w:p w:rsidR="0064739F" w:rsidRPr="0058012B" w:rsidRDefault="0064739F" w:rsidP="000A256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536"/>
        <w:gridCol w:w="4536"/>
        <w:gridCol w:w="1636"/>
      </w:tblGrid>
      <w:tr w:rsidR="0064739F" w:rsidRPr="0058012B" w:rsidTr="00FA3DC0">
        <w:tc>
          <w:tcPr>
            <w:tcW w:w="3510" w:type="dxa"/>
          </w:tcPr>
          <w:p w:rsidR="0064739F" w:rsidRPr="0058012B" w:rsidRDefault="0064739F" w:rsidP="00FA3DC0">
            <w:pPr>
              <w:jc w:val="both"/>
              <w:rPr>
                <w:b/>
                <w:sz w:val="22"/>
                <w:szCs w:val="22"/>
              </w:rPr>
            </w:pPr>
            <w:r w:rsidRPr="0058012B">
              <w:rPr>
                <w:b/>
                <w:sz w:val="22"/>
                <w:szCs w:val="22"/>
              </w:rPr>
              <w:t>Name (please print)</w:t>
            </w:r>
          </w:p>
          <w:p w:rsidR="0064739F" w:rsidRPr="0058012B" w:rsidRDefault="0064739F" w:rsidP="00FA3DC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58012B" w:rsidRDefault="0064739F" w:rsidP="00FA3DC0">
            <w:pPr>
              <w:jc w:val="both"/>
              <w:rPr>
                <w:b/>
                <w:sz w:val="22"/>
                <w:szCs w:val="22"/>
              </w:rPr>
            </w:pPr>
            <w:r w:rsidRPr="0058012B">
              <w:rPr>
                <w:b/>
                <w:sz w:val="22"/>
                <w:szCs w:val="22"/>
              </w:rPr>
              <w:t>signed</w:t>
            </w:r>
          </w:p>
        </w:tc>
        <w:tc>
          <w:tcPr>
            <w:tcW w:w="4536" w:type="dxa"/>
          </w:tcPr>
          <w:p w:rsidR="0064739F" w:rsidRPr="0058012B" w:rsidRDefault="0064739F" w:rsidP="00FA3DC0">
            <w:pPr>
              <w:jc w:val="both"/>
              <w:rPr>
                <w:b/>
                <w:sz w:val="22"/>
                <w:szCs w:val="22"/>
              </w:rPr>
            </w:pPr>
            <w:r w:rsidRPr="0058012B">
              <w:rPr>
                <w:b/>
                <w:sz w:val="22"/>
                <w:szCs w:val="22"/>
              </w:rPr>
              <w:t xml:space="preserve">PI </w:t>
            </w:r>
            <w:r w:rsidR="009154E8" w:rsidRPr="0058012B">
              <w:rPr>
                <w:b/>
                <w:sz w:val="22"/>
                <w:szCs w:val="22"/>
              </w:rPr>
              <w:t>countersignature</w:t>
            </w:r>
          </w:p>
        </w:tc>
        <w:tc>
          <w:tcPr>
            <w:tcW w:w="1636" w:type="dxa"/>
          </w:tcPr>
          <w:p w:rsidR="0064739F" w:rsidRPr="0058012B" w:rsidRDefault="0064739F" w:rsidP="00FA3DC0">
            <w:pPr>
              <w:jc w:val="both"/>
              <w:rPr>
                <w:b/>
                <w:sz w:val="22"/>
                <w:szCs w:val="22"/>
              </w:rPr>
            </w:pPr>
            <w:r w:rsidRPr="0058012B">
              <w:rPr>
                <w:b/>
                <w:sz w:val="22"/>
                <w:szCs w:val="22"/>
              </w:rPr>
              <w:t>date</w:t>
            </w:r>
          </w:p>
        </w:tc>
      </w:tr>
      <w:tr w:rsidR="0064739F" w:rsidRPr="0058012B" w:rsidTr="00FA3DC0">
        <w:trPr>
          <w:trHeight w:val="679"/>
        </w:trPr>
        <w:tc>
          <w:tcPr>
            <w:tcW w:w="3510" w:type="dxa"/>
          </w:tcPr>
          <w:p w:rsidR="0064739F" w:rsidRPr="0058012B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58012B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58012B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64739F" w:rsidRPr="0058012B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</w:tr>
      <w:tr w:rsidR="0064739F" w:rsidRPr="0058012B" w:rsidTr="00FA3DC0">
        <w:trPr>
          <w:trHeight w:val="679"/>
        </w:trPr>
        <w:tc>
          <w:tcPr>
            <w:tcW w:w="3510" w:type="dxa"/>
          </w:tcPr>
          <w:p w:rsidR="0064739F" w:rsidRPr="0058012B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58012B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58012B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64739F" w:rsidRPr="0058012B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</w:tr>
      <w:tr w:rsidR="0064739F" w:rsidRPr="0058012B" w:rsidTr="00FA3DC0">
        <w:trPr>
          <w:trHeight w:val="680"/>
        </w:trPr>
        <w:tc>
          <w:tcPr>
            <w:tcW w:w="3510" w:type="dxa"/>
          </w:tcPr>
          <w:p w:rsidR="0064739F" w:rsidRPr="0058012B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58012B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58012B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64739F" w:rsidRPr="0058012B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</w:tr>
      <w:tr w:rsidR="0064739F" w:rsidRPr="0058012B" w:rsidTr="00FA3DC0">
        <w:trPr>
          <w:trHeight w:val="680"/>
        </w:trPr>
        <w:tc>
          <w:tcPr>
            <w:tcW w:w="3510" w:type="dxa"/>
          </w:tcPr>
          <w:p w:rsidR="0064739F" w:rsidRPr="0058012B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58012B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58012B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64739F" w:rsidRPr="0058012B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</w:tr>
      <w:tr w:rsidR="0064739F" w:rsidRPr="0058012B" w:rsidTr="00FA3DC0">
        <w:trPr>
          <w:trHeight w:val="680"/>
        </w:trPr>
        <w:tc>
          <w:tcPr>
            <w:tcW w:w="3510" w:type="dxa"/>
          </w:tcPr>
          <w:p w:rsidR="0064739F" w:rsidRPr="0058012B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58012B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58012B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64739F" w:rsidRPr="0058012B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</w:tr>
    </w:tbl>
    <w:p w:rsidR="00E01D5E" w:rsidRPr="0058012B" w:rsidRDefault="00E01D5E" w:rsidP="000A2568">
      <w:pPr>
        <w:tabs>
          <w:tab w:val="num" w:pos="567"/>
        </w:tabs>
        <w:ind w:left="567" w:hanging="567"/>
        <w:jc w:val="both"/>
        <w:rPr>
          <w:sz w:val="22"/>
          <w:szCs w:val="22"/>
        </w:rPr>
      </w:pPr>
    </w:p>
    <w:sectPr w:rsidR="00E01D5E" w:rsidRPr="0058012B" w:rsidSect="002A090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05" w:rsidRDefault="00380A05">
      <w:r>
        <w:separator/>
      </w:r>
    </w:p>
  </w:endnote>
  <w:endnote w:type="continuationSeparator" w:id="0">
    <w:p w:rsidR="00380A05" w:rsidRDefault="0038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05" w:rsidRDefault="00380A05">
      <w:r>
        <w:separator/>
      </w:r>
    </w:p>
  </w:footnote>
  <w:footnote w:type="continuationSeparator" w:id="0">
    <w:p w:rsidR="00380A05" w:rsidRDefault="00380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385C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C22EFC"/>
    <w:multiLevelType w:val="hybridMultilevel"/>
    <w:tmpl w:val="4718EE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8E3EE0"/>
    <w:multiLevelType w:val="hybridMultilevel"/>
    <w:tmpl w:val="5674F4F0"/>
    <w:lvl w:ilvl="0" w:tplc="CAE8AF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isplayHorizontalDrawingGridEvery w:val="6"/>
  <w:displayVerticalDrawingGridEvery w:val="6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00F"/>
    <w:rsid w:val="00003D9D"/>
    <w:rsid w:val="000113D7"/>
    <w:rsid w:val="00025E76"/>
    <w:rsid w:val="0005133D"/>
    <w:rsid w:val="000A2568"/>
    <w:rsid w:val="000A486F"/>
    <w:rsid w:val="000A501D"/>
    <w:rsid w:val="000B2DE9"/>
    <w:rsid w:val="00127084"/>
    <w:rsid w:val="001D5D34"/>
    <w:rsid w:val="001D75FC"/>
    <w:rsid w:val="0020100F"/>
    <w:rsid w:val="002A0900"/>
    <w:rsid w:val="002A200C"/>
    <w:rsid w:val="002D7ABB"/>
    <w:rsid w:val="003500D5"/>
    <w:rsid w:val="00364B84"/>
    <w:rsid w:val="00380A05"/>
    <w:rsid w:val="003847F9"/>
    <w:rsid w:val="004E20DD"/>
    <w:rsid w:val="004E33B8"/>
    <w:rsid w:val="00510D6C"/>
    <w:rsid w:val="005225C9"/>
    <w:rsid w:val="005650C7"/>
    <w:rsid w:val="0058012B"/>
    <w:rsid w:val="005816CD"/>
    <w:rsid w:val="005C135F"/>
    <w:rsid w:val="005E68E8"/>
    <w:rsid w:val="0064739F"/>
    <w:rsid w:val="00665FBE"/>
    <w:rsid w:val="0067291A"/>
    <w:rsid w:val="00690FCB"/>
    <w:rsid w:val="00791668"/>
    <w:rsid w:val="008139BB"/>
    <w:rsid w:val="00856A77"/>
    <w:rsid w:val="008F47E5"/>
    <w:rsid w:val="009154E8"/>
    <w:rsid w:val="00945D8B"/>
    <w:rsid w:val="009538CF"/>
    <w:rsid w:val="0096166B"/>
    <w:rsid w:val="00964569"/>
    <w:rsid w:val="009B5F67"/>
    <w:rsid w:val="009E0F87"/>
    <w:rsid w:val="009F0C43"/>
    <w:rsid w:val="00AE1A75"/>
    <w:rsid w:val="00B35E07"/>
    <w:rsid w:val="00B613A2"/>
    <w:rsid w:val="00BD53AC"/>
    <w:rsid w:val="00C57158"/>
    <w:rsid w:val="00C66350"/>
    <w:rsid w:val="00C74CA7"/>
    <w:rsid w:val="00CA2B83"/>
    <w:rsid w:val="00D15D78"/>
    <w:rsid w:val="00D30F1A"/>
    <w:rsid w:val="00D75F63"/>
    <w:rsid w:val="00DB7477"/>
    <w:rsid w:val="00E01D5E"/>
    <w:rsid w:val="00E3654D"/>
    <w:rsid w:val="00F443A5"/>
    <w:rsid w:val="00FA3DC0"/>
    <w:rsid w:val="00FD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</vt:lpstr>
    </vt:vector>
  </TitlesOfParts>
  <Company>UMIST, ISD</Company>
  <LinksUpToDate>false</LinksUpToDate>
  <CharactersWithSpaces>2345</CharactersWithSpaces>
  <SharedDoc>false</SharedDoc>
  <HLinks>
    <vt:vector size="6" baseType="variant">
      <vt:variant>
        <vt:i4>4390987</vt:i4>
      </vt:variant>
      <vt:variant>
        <vt:i4>-1</vt:i4>
      </vt:variant>
      <vt:variant>
        <vt:i4>1026</vt:i4>
      </vt:variant>
      <vt:variant>
        <vt:i4>1</vt:i4>
      </vt:variant>
      <vt:variant>
        <vt:lpwstr>TUOM_4COL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</dc:title>
  <dc:creator>mprss02</dc:creator>
  <cp:lastModifiedBy>Tanya Aspinall</cp:lastModifiedBy>
  <cp:revision>3</cp:revision>
  <cp:lastPrinted>2008-11-13T09:31:00Z</cp:lastPrinted>
  <dcterms:created xsi:type="dcterms:W3CDTF">2015-02-23T13:34:00Z</dcterms:created>
  <dcterms:modified xsi:type="dcterms:W3CDTF">2015-02-23T13:35:00Z</dcterms:modified>
</cp:coreProperties>
</file>