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0F" w:rsidRPr="00944029" w:rsidRDefault="00006F97" w:rsidP="00006F97">
      <w:pPr>
        <w:pStyle w:val="BodyTextIndent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3.25pt;margin-top:-21.55pt;width:527.15pt;height:30.15pt;z-index:251658240" stroked="f">
            <v:textbox style="mso-next-textbox:#_x0000_s1027">
              <w:txbxContent>
                <w:p w:rsidR="00BA73D6" w:rsidRDefault="00944029">
                  <w:pPr>
                    <w:rPr>
                      <w:b/>
                      <w:bCs/>
                    </w:rPr>
                  </w:pPr>
                  <w:r w:rsidRPr="00944029">
                    <w:rPr>
                      <w:b/>
                      <w:bCs/>
                    </w:rPr>
                    <w:t xml:space="preserve">Manchester </w:t>
                  </w:r>
                  <w:r>
                    <w:rPr>
                      <w:b/>
                      <w:bCs/>
                    </w:rPr>
                    <w:t xml:space="preserve">Institute of </w:t>
                  </w:r>
                  <w:proofErr w:type="gramStart"/>
                  <w:r>
                    <w:rPr>
                      <w:b/>
                      <w:bCs/>
                    </w:rPr>
                    <w:t>Biotechnology</w:t>
                  </w:r>
                  <w:r w:rsidRPr="00944029">
                    <w:rPr>
                      <w:b/>
                      <w:bCs/>
                    </w:rPr>
                    <w:t xml:space="preserve">  -</w:t>
                  </w:r>
                  <w:proofErr w:type="gramEnd"/>
                  <w:r w:rsidRPr="00944029">
                    <w:rPr>
                      <w:b/>
                      <w:bCs/>
                    </w:rPr>
                    <w:t xml:space="preserve"> Risk Assessment Form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9264;mso-position-horizontal-relative:page;mso-position-vertical-relative:page">
            <v:imagedata r:id="rId8" o:title="TUOM_4COL"/>
            <w10:wrap anchorx="page" anchory="page"/>
          </v:shape>
        </w:pict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  <w:r w:rsidR="0020100F" w:rsidRPr="00944029">
        <w:rPr>
          <w:sz w:val="22"/>
          <w:szCs w:val="22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2051"/>
        <w:gridCol w:w="3196"/>
        <w:gridCol w:w="3685"/>
        <w:gridCol w:w="1611"/>
        <w:gridCol w:w="2039"/>
      </w:tblGrid>
      <w:tr w:rsidR="008F47E5" w:rsidRPr="00944029" w:rsidTr="00944029">
        <w:trPr>
          <w:cantSplit/>
          <w:trHeight w:val="498"/>
          <w:tblHeader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944029" w:rsidRDefault="008F47E5" w:rsidP="00944029">
            <w:pPr>
              <w:jc w:val="both"/>
              <w:rPr>
                <w:color w:val="FF0000"/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Date: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  <w:p w:rsidR="008F47E5" w:rsidRPr="00944029" w:rsidRDefault="0094402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20/01/15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944029" w:rsidRDefault="008F47E5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Assessed by: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  <w:p w:rsidR="00CA2B83" w:rsidRPr="00944029" w:rsidRDefault="0094402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Steve Marsden</w:t>
            </w:r>
          </w:p>
          <w:p w:rsidR="00CA2B83" w:rsidRPr="00944029" w:rsidRDefault="00CA2B83" w:rsidP="0094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944029" w:rsidRDefault="00B613A2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Validated by:</w:t>
            </w:r>
          </w:p>
          <w:p w:rsidR="00B613A2" w:rsidRPr="00944029" w:rsidRDefault="0094402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Tanya Aspinall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8F47E5" w:rsidRPr="00944029" w:rsidRDefault="008F47E5" w:rsidP="00944029">
            <w:pPr>
              <w:jc w:val="both"/>
              <w:rPr>
                <w:color w:val="FF0000"/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Location: 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  <w:p w:rsidR="007325C9" w:rsidRPr="00944029" w:rsidRDefault="007325C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General lab areas </w:t>
            </w:r>
          </w:p>
        </w:tc>
        <w:tc>
          <w:tcPr>
            <w:tcW w:w="1611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7325C9" w:rsidRPr="00944029" w:rsidRDefault="007325C9" w:rsidP="0094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7325C9" w:rsidRPr="00944029" w:rsidRDefault="008F47E5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Review date: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  <w:p w:rsidR="00944029" w:rsidRPr="00944029" w:rsidRDefault="00944029" w:rsidP="00944029">
            <w:pPr>
              <w:jc w:val="both"/>
              <w:rPr>
                <w:color w:val="FF0000"/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2016</w:t>
            </w:r>
          </w:p>
        </w:tc>
      </w:tr>
      <w:tr w:rsidR="00B613A2" w:rsidRPr="00944029" w:rsidTr="00944029">
        <w:trPr>
          <w:cantSplit/>
          <w:tblHeader/>
        </w:trPr>
        <w:tc>
          <w:tcPr>
            <w:tcW w:w="14281" w:type="dxa"/>
            <w:gridSpan w:val="6"/>
          </w:tcPr>
          <w:p w:rsidR="00006F97" w:rsidRDefault="00006F97" w:rsidP="00944029">
            <w:pPr>
              <w:jc w:val="both"/>
              <w:rPr>
                <w:sz w:val="22"/>
                <w:szCs w:val="22"/>
              </w:rPr>
            </w:pPr>
          </w:p>
          <w:p w:rsidR="002D7ABB" w:rsidRPr="00944029" w:rsidRDefault="00B613A2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Task / premises:</w:t>
            </w:r>
            <w:r w:rsidR="00944029" w:rsidRPr="00944029">
              <w:rPr>
                <w:sz w:val="22"/>
                <w:szCs w:val="22"/>
              </w:rPr>
              <w:t xml:space="preserve"> </w:t>
            </w:r>
            <w:r w:rsidR="007325C9" w:rsidRPr="00944029">
              <w:rPr>
                <w:sz w:val="22"/>
                <w:szCs w:val="22"/>
              </w:rPr>
              <w:t xml:space="preserve"> Cleaning up a broken mercury </w:t>
            </w:r>
            <w:r w:rsidR="00372F13" w:rsidRPr="00944029">
              <w:rPr>
                <w:sz w:val="22"/>
                <w:szCs w:val="22"/>
              </w:rPr>
              <w:t>arc lamp</w:t>
            </w:r>
            <w:r w:rsidR="00B80912" w:rsidRPr="00944029">
              <w:rPr>
                <w:sz w:val="22"/>
                <w:szCs w:val="22"/>
              </w:rPr>
              <w:t xml:space="preserve"> after explosion or</w:t>
            </w:r>
            <w:r w:rsidR="007325C9" w:rsidRPr="00944029">
              <w:rPr>
                <w:sz w:val="22"/>
                <w:szCs w:val="22"/>
              </w:rPr>
              <w:t xml:space="preserve"> at room temperature</w:t>
            </w:r>
          </w:p>
          <w:p w:rsidR="00B613A2" w:rsidRPr="00944029" w:rsidRDefault="007325C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 </w:t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  <w:r w:rsidR="00B613A2" w:rsidRPr="00944029">
              <w:rPr>
                <w:sz w:val="22"/>
                <w:szCs w:val="22"/>
              </w:rPr>
              <w:tab/>
            </w:r>
          </w:p>
        </w:tc>
      </w:tr>
    </w:tbl>
    <w:p w:rsidR="0020100F" w:rsidRPr="00944029" w:rsidRDefault="0020100F" w:rsidP="00944029">
      <w:pPr>
        <w:jc w:val="both"/>
        <w:rPr>
          <w:sz w:val="22"/>
          <w:szCs w:val="22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751"/>
        <w:gridCol w:w="1964"/>
        <w:gridCol w:w="6662"/>
        <w:gridCol w:w="1134"/>
        <w:gridCol w:w="851"/>
      </w:tblGrid>
      <w:tr w:rsidR="0020100F" w:rsidRPr="00944029" w:rsidTr="00944029">
        <w:trPr>
          <w:tblHeader/>
        </w:trPr>
        <w:tc>
          <w:tcPr>
            <w:tcW w:w="1955" w:type="dxa"/>
            <w:shd w:val="clear" w:color="auto" w:fill="CCFFFF"/>
          </w:tcPr>
          <w:p w:rsidR="0020100F" w:rsidRPr="00944029" w:rsidRDefault="0020100F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Activity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shd w:val="clear" w:color="auto" w:fill="CCFFFF"/>
          </w:tcPr>
          <w:p w:rsidR="0020100F" w:rsidRPr="00944029" w:rsidRDefault="0020100F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Hazard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shd w:val="clear" w:color="auto" w:fill="CCFFFF"/>
          </w:tcPr>
          <w:p w:rsidR="0020100F" w:rsidRPr="00944029" w:rsidRDefault="0020100F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Person(s) in danger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944029" w:rsidRDefault="0020100F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Existing measures to control risk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CCFFFF"/>
          </w:tcPr>
          <w:p w:rsidR="0020100F" w:rsidRPr="00944029" w:rsidRDefault="0094402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Risk Rating</w:t>
            </w:r>
          </w:p>
        </w:tc>
        <w:tc>
          <w:tcPr>
            <w:tcW w:w="851" w:type="dxa"/>
            <w:shd w:val="clear" w:color="auto" w:fill="CCFFFF"/>
          </w:tcPr>
          <w:p w:rsidR="0020100F" w:rsidRPr="00944029" w:rsidRDefault="0020100F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Result</w:t>
            </w:r>
            <w:r w:rsidR="002D7ABB" w:rsidRPr="00944029">
              <w:rPr>
                <w:sz w:val="22"/>
                <w:szCs w:val="22"/>
              </w:rPr>
              <w:t xml:space="preserve"> </w:t>
            </w:r>
          </w:p>
        </w:tc>
      </w:tr>
      <w:tr w:rsidR="00700A10" w:rsidRPr="00944029" w:rsidTr="00944029">
        <w:trPr>
          <w:trHeight w:val="1214"/>
        </w:trPr>
        <w:tc>
          <w:tcPr>
            <w:tcW w:w="1955" w:type="dxa"/>
          </w:tcPr>
          <w:p w:rsidR="00700A10" w:rsidRPr="00944029" w:rsidRDefault="00700A10" w:rsidP="00944029">
            <w:pPr>
              <w:jc w:val="both"/>
              <w:rPr>
                <w:color w:val="000000"/>
                <w:sz w:val="22"/>
                <w:szCs w:val="22"/>
              </w:rPr>
            </w:pPr>
            <w:r w:rsidRPr="00944029">
              <w:rPr>
                <w:color w:val="000000"/>
                <w:sz w:val="22"/>
                <w:szCs w:val="22"/>
              </w:rPr>
              <w:t xml:space="preserve">Broken mercury </w:t>
            </w:r>
            <w:r w:rsidR="00372F13" w:rsidRPr="00944029">
              <w:rPr>
                <w:color w:val="000000"/>
                <w:sz w:val="22"/>
                <w:szCs w:val="22"/>
              </w:rPr>
              <w:t>lamp</w:t>
            </w:r>
            <w:r w:rsidR="00B80912" w:rsidRPr="00944029">
              <w:rPr>
                <w:color w:val="000000"/>
                <w:sz w:val="22"/>
                <w:szCs w:val="22"/>
              </w:rPr>
              <w:t xml:space="preserve"> following explosion</w:t>
            </w:r>
          </w:p>
        </w:tc>
        <w:tc>
          <w:tcPr>
            <w:tcW w:w="1751" w:type="dxa"/>
          </w:tcPr>
          <w:p w:rsidR="00700A10" w:rsidRPr="00944029" w:rsidRDefault="00700A10" w:rsidP="0094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>Mercury</w:t>
            </w:r>
            <w:r w:rsidRPr="00944029">
              <w:rPr>
                <w:sz w:val="22"/>
                <w:szCs w:val="22"/>
              </w:rPr>
              <w:t xml:space="preserve"> - Corrosive. Harmful if inhaled and easily absorbed through lungs, skin and alimentary system.</w:t>
            </w:r>
          </w:p>
          <w:p w:rsidR="00700A10" w:rsidRPr="00944029" w:rsidRDefault="00700A10" w:rsidP="0094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sz w:val="22"/>
                <w:szCs w:val="22"/>
              </w:rPr>
              <w:t xml:space="preserve">Can cause burns  </w:t>
            </w:r>
          </w:p>
          <w:p w:rsidR="00700A10" w:rsidRPr="00944029" w:rsidRDefault="00700A10" w:rsidP="0094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</w:p>
          <w:p w:rsidR="00700A10" w:rsidRPr="00944029" w:rsidRDefault="00700A10" w:rsidP="0094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b/>
                <w:sz w:val="22"/>
                <w:szCs w:val="22"/>
                <w:lang w:eastAsia="en-GB"/>
              </w:rPr>
              <w:t>Glass</w:t>
            </w:r>
            <w:r w:rsidRPr="00944029">
              <w:rPr>
                <w:sz w:val="22"/>
                <w:szCs w:val="22"/>
                <w:lang w:eastAsia="en-GB"/>
              </w:rPr>
              <w:t xml:space="preserve"> – cuts and puncture wounds </w:t>
            </w:r>
          </w:p>
        </w:tc>
        <w:tc>
          <w:tcPr>
            <w:tcW w:w="1964" w:type="dxa"/>
          </w:tcPr>
          <w:p w:rsidR="00700A10" w:rsidRPr="00944029" w:rsidRDefault="00BA6DF3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Microscope u</w:t>
            </w:r>
            <w:r w:rsidR="00700A10" w:rsidRPr="00944029">
              <w:rPr>
                <w:sz w:val="22"/>
                <w:szCs w:val="22"/>
              </w:rPr>
              <w:t xml:space="preserve">ser and those in the vicinity </w:t>
            </w:r>
          </w:p>
        </w:tc>
        <w:tc>
          <w:tcPr>
            <w:tcW w:w="6662" w:type="dxa"/>
          </w:tcPr>
          <w:p w:rsidR="00B80912" w:rsidRPr="00944029" w:rsidRDefault="00B80912" w:rsidP="00944029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Following recommendations in the UV lamp risk assessment should greatly reduce the risk of explosion.</w:t>
            </w:r>
          </w:p>
          <w:p w:rsidR="00B80912" w:rsidRPr="00944029" w:rsidRDefault="00B80912" w:rsidP="00944029">
            <w:pPr>
              <w:ind w:left="57"/>
              <w:jc w:val="both"/>
              <w:rPr>
                <w:sz w:val="22"/>
                <w:szCs w:val="22"/>
              </w:rPr>
            </w:pPr>
          </w:p>
          <w:p w:rsidR="009E0A5B" w:rsidRPr="00944029" w:rsidRDefault="00B80912" w:rsidP="00944029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In the event of an explosion</w:t>
            </w:r>
            <w:r w:rsidR="00006F97">
              <w:rPr>
                <w:sz w:val="22"/>
                <w:szCs w:val="22"/>
              </w:rPr>
              <w:t>,</w:t>
            </w:r>
            <w:r w:rsidRPr="00944029">
              <w:rPr>
                <w:sz w:val="22"/>
                <w:szCs w:val="22"/>
              </w:rPr>
              <w:t xml:space="preserve"> the lab will be evacuated and a member of staff trained in mercury clean</w:t>
            </w:r>
            <w:r w:rsidR="00BA6DF3" w:rsidRPr="00944029">
              <w:rPr>
                <w:sz w:val="22"/>
                <w:szCs w:val="22"/>
              </w:rPr>
              <w:t>-</w:t>
            </w:r>
            <w:r w:rsidRPr="00944029">
              <w:rPr>
                <w:sz w:val="22"/>
                <w:szCs w:val="22"/>
              </w:rPr>
              <w:t xml:space="preserve">up will return to the </w:t>
            </w:r>
            <w:r w:rsidR="00BB7C2E" w:rsidRPr="00944029">
              <w:rPr>
                <w:sz w:val="22"/>
                <w:szCs w:val="22"/>
              </w:rPr>
              <w:t>microscope</w:t>
            </w:r>
            <w:r w:rsidRPr="00944029">
              <w:rPr>
                <w:sz w:val="22"/>
                <w:szCs w:val="22"/>
              </w:rPr>
              <w:t xml:space="preserve"> once the </w:t>
            </w:r>
            <w:r w:rsidR="00BB7C2E" w:rsidRPr="00944029">
              <w:rPr>
                <w:sz w:val="22"/>
                <w:szCs w:val="22"/>
              </w:rPr>
              <w:t xml:space="preserve">lamp </w:t>
            </w:r>
            <w:r w:rsidRPr="00944029">
              <w:rPr>
                <w:sz w:val="22"/>
                <w:szCs w:val="22"/>
              </w:rPr>
              <w:t xml:space="preserve">housing has cooled down and the mercury vapour has had time to condense. </w:t>
            </w:r>
            <w:r w:rsidR="00BA6DF3" w:rsidRPr="00944029">
              <w:rPr>
                <w:sz w:val="22"/>
                <w:szCs w:val="22"/>
              </w:rPr>
              <w:t xml:space="preserve">The </w:t>
            </w:r>
            <w:r w:rsidR="00372F13" w:rsidRPr="00944029">
              <w:rPr>
                <w:sz w:val="22"/>
                <w:szCs w:val="22"/>
              </w:rPr>
              <w:t>lamp</w:t>
            </w:r>
            <w:r w:rsidR="00BA6DF3" w:rsidRPr="00944029">
              <w:rPr>
                <w:sz w:val="22"/>
                <w:szCs w:val="22"/>
              </w:rPr>
              <w:t xml:space="preserve"> power should be turned off at the PSU and at the mains. </w:t>
            </w:r>
          </w:p>
          <w:p w:rsidR="009E0A5B" w:rsidRPr="00944029" w:rsidRDefault="009E0A5B" w:rsidP="00944029">
            <w:pPr>
              <w:ind w:left="57"/>
              <w:jc w:val="both"/>
              <w:rPr>
                <w:sz w:val="22"/>
                <w:szCs w:val="22"/>
              </w:rPr>
            </w:pPr>
          </w:p>
          <w:p w:rsidR="009E0A5B" w:rsidRPr="00944029" w:rsidRDefault="009E0A5B" w:rsidP="00944029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A mercury spills kit is available outside </w:t>
            </w:r>
            <w:r w:rsidR="00006F97">
              <w:rPr>
                <w:sz w:val="22"/>
                <w:szCs w:val="22"/>
              </w:rPr>
              <w:t>the MIB Safety Office (</w:t>
            </w:r>
            <w:r w:rsidRPr="00944029">
              <w:rPr>
                <w:sz w:val="22"/>
                <w:szCs w:val="22"/>
              </w:rPr>
              <w:t>2.015).</w:t>
            </w:r>
            <w:r w:rsidR="00006F97">
              <w:rPr>
                <w:sz w:val="22"/>
                <w:szCs w:val="22"/>
              </w:rPr>
              <w:t xml:space="preserve"> The enclosed instructions should be followed to clean up the spill.</w:t>
            </w:r>
          </w:p>
          <w:p w:rsidR="009E0A5B" w:rsidRPr="00944029" w:rsidRDefault="009E0A5B" w:rsidP="00944029">
            <w:pPr>
              <w:ind w:left="57"/>
              <w:jc w:val="both"/>
              <w:rPr>
                <w:sz w:val="22"/>
                <w:szCs w:val="22"/>
              </w:rPr>
            </w:pPr>
          </w:p>
          <w:p w:rsidR="00006F97" w:rsidRDefault="00006F97" w:rsidP="00006F97">
            <w:pPr>
              <w:jc w:val="both"/>
              <w:rPr>
                <w:rFonts w:eastAsia="Calibri"/>
                <w:sz w:val="22"/>
                <w:szCs w:val="22"/>
              </w:rPr>
            </w:pPr>
            <w:r w:rsidRPr="00006F97">
              <w:rPr>
                <w:rFonts w:eastAsia="Calibri"/>
                <w:sz w:val="22"/>
                <w:szCs w:val="22"/>
              </w:rPr>
              <w:t>The following items of PPE must be worn: Howie-style laboratory coat, BS EN374 compliant gloves (nitrile) and BS EN166 compliant eye protection (chemical splash proof safety glasses)</w:t>
            </w:r>
            <w:r>
              <w:rPr>
                <w:rFonts w:eastAsia="Calibri"/>
                <w:sz w:val="22"/>
                <w:szCs w:val="22"/>
              </w:rPr>
              <w:t xml:space="preserve"> and a face visor</w:t>
            </w:r>
            <w:r w:rsidRPr="00006F97">
              <w:rPr>
                <w:rFonts w:eastAsia="Calibri"/>
                <w:sz w:val="22"/>
                <w:szCs w:val="22"/>
              </w:rPr>
              <w:t>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006F97" w:rsidRDefault="00006F97" w:rsidP="00006F9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006F97" w:rsidRPr="00944029" w:rsidRDefault="00006F97" w:rsidP="00006F97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Traces of mercury can then be cleaned up as follows;</w:t>
            </w:r>
          </w:p>
          <w:p w:rsidR="00006F97" w:rsidRPr="00006F97" w:rsidRDefault="00006F97" w:rsidP="00006F9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00A10" w:rsidRPr="00944029" w:rsidRDefault="001A3010" w:rsidP="00944029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lastRenderedPageBreak/>
              <w:t xml:space="preserve"> • Place the lamp housing into a large plastic bag before removing it from the microscope in order to contain the spill.</w:t>
            </w:r>
          </w:p>
          <w:p w:rsidR="001A3010" w:rsidRPr="00944029" w:rsidRDefault="001A3010" w:rsidP="00944029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• Working inside the plastic bag where possible; remove the larger pieces of glass, use tweezers or a fine brush – place in a suitable container and clearly label it (plastic lunch boxes / glass jars are good) and temporarily store it in the fume hood.</w:t>
            </w:r>
          </w:p>
          <w:p w:rsidR="009E0A5B" w:rsidRPr="00944029" w:rsidRDefault="009E0A5B" w:rsidP="00944029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• In practice very little liquid mercury will be visible following a mercury bulb explosion. Sprinkle </w:t>
            </w:r>
            <w:r w:rsidR="00006F97">
              <w:rPr>
                <w:sz w:val="22"/>
                <w:szCs w:val="22"/>
              </w:rPr>
              <w:t>granules from the mercury spills kit</w:t>
            </w:r>
            <w:r w:rsidRPr="00944029">
              <w:rPr>
                <w:sz w:val="22"/>
                <w:szCs w:val="22"/>
              </w:rPr>
              <w:t xml:space="preserve"> onto the inside of the lamp housing and on any other surface where debris from the explosion is evident. Leave for a couple of hours and then mop up with damp blue role CAUTION – some small glass shards may be present.</w:t>
            </w:r>
          </w:p>
          <w:p w:rsidR="009E0A5B" w:rsidRPr="00944029" w:rsidRDefault="009E0A5B" w:rsidP="00944029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• Place the plastic bag along with all debris and used blue role in a sealable plastic box and clearly label it. Close the box, dispose of as mercury contaminated hazardous waste.</w:t>
            </w:r>
          </w:p>
          <w:p w:rsidR="009E0A5B" w:rsidRPr="00944029" w:rsidRDefault="009E0A5B" w:rsidP="00944029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• Wash hands thoroughly with soap and water</w:t>
            </w:r>
          </w:p>
          <w:p w:rsidR="001A3010" w:rsidRPr="00944029" w:rsidRDefault="009E0A5B" w:rsidP="00006F97">
            <w:pPr>
              <w:ind w:left="57"/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• Complete an incident report form (See </w:t>
            </w:r>
            <w:r w:rsidR="00006F97">
              <w:rPr>
                <w:sz w:val="22"/>
                <w:szCs w:val="22"/>
              </w:rPr>
              <w:t>MIB</w:t>
            </w:r>
            <w:r w:rsidRPr="00944029">
              <w:rPr>
                <w:sz w:val="22"/>
                <w:szCs w:val="22"/>
              </w:rPr>
              <w:t xml:space="preserve"> H&amp;S intranet for guidance).</w:t>
            </w:r>
          </w:p>
        </w:tc>
        <w:tc>
          <w:tcPr>
            <w:tcW w:w="1134" w:type="dxa"/>
          </w:tcPr>
          <w:p w:rsidR="00700A10" w:rsidRPr="00944029" w:rsidRDefault="00700A10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851" w:type="dxa"/>
          </w:tcPr>
          <w:p w:rsidR="00700A10" w:rsidRPr="00944029" w:rsidRDefault="00700A10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A</w:t>
            </w:r>
          </w:p>
        </w:tc>
      </w:tr>
      <w:tr w:rsidR="0020100F" w:rsidRPr="00944029" w:rsidTr="00944029">
        <w:tc>
          <w:tcPr>
            <w:tcW w:w="1955" w:type="dxa"/>
          </w:tcPr>
          <w:p w:rsidR="0020100F" w:rsidRPr="00944029" w:rsidRDefault="007325C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lastRenderedPageBreak/>
              <w:t xml:space="preserve">Cleaning up a broken mercury </w:t>
            </w:r>
            <w:r w:rsidR="00372F13" w:rsidRPr="00944029">
              <w:rPr>
                <w:sz w:val="22"/>
                <w:szCs w:val="22"/>
              </w:rPr>
              <w:t>lamp</w:t>
            </w:r>
            <w:r w:rsidRPr="00944029">
              <w:rPr>
                <w:sz w:val="22"/>
                <w:szCs w:val="22"/>
              </w:rPr>
              <w:t xml:space="preserve"> at room temperature</w:t>
            </w:r>
          </w:p>
          <w:p w:rsidR="002D7ABB" w:rsidRPr="00944029" w:rsidRDefault="002D7ABB" w:rsidP="0094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9E5212" w:rsidRPr="00944029" w:rsidRDefault="009E5212" w:rsidP="0094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 xml:space="preserve">Mercury </w:t>
            </w:r>
            <w:r w:rsidRPr="00944029">
              <w:rPr>
                <w:sz w:val="22"/>
                <w:szCs w:val="22"/>
              </w:rPr>
              <w:t>- Corrosive. Harmful if inhaled and easily absorbed through lungs, skin and alimentary system.</w:t>
            </w:r>
          </w:p>
          <w:p w:rsidR="009E5212" w:rsidRPr="00944029" w:rsidRDefault="009E5212" w:rsidP="0094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sz w:val="22"/>
                <w:szCs w:val="22"/>
              </w:rPr>
              <w:t xml:space="preserve">Can cause burns  </w:t>
            </w:r>
          </w:p>
          <w:p w:rsidR="009E5212" w:rsidRPr="00944029" w:rsidRDefault="009E5212" w:rsidP="0094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</w:p>
          <w:p w:rsidR="00A64588" w:rsidRPr="00944029" w:rsidRDefault="009E5212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  <w:lang w:eastAsia="en-GB"/>
              </w:rPr>
              <w:t>Glass</w:t>
            </w:r>
            <w:r w:rsidRPr="00944029">
              <w:rPr>
                <w:sz w:val="22"/>
                <w:szCs w:val="22"/>
                <w:lang w:eastAsia="en-GB"/>
              </w:rPr>
              <w:t xml:space="preserve"> – cuts and puncture wounds</w:t>
            </w: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22164E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 xml:space="preserve">Flower of Sulphur  </w:t>
            </w:r>
            <w:r w:rsidRPr="00944029">
              <w:rPr>
                <w:sz w:val="22"/>
                <w:szCs w:val="22"/>
              </w:rPr>
              <w:t xml:space="preserve">- </w:t>
            </w:r>
          </w:p>
          <w:p w:rsidR="00A64588" w:rsidRPr="00944029" w:rsidRDefault="00CD0E63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Causes eye and skin irritation </w:t>
            </w: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7325C9" w:rsidRPr="00944029" w:rsidRDefault="007325C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lastRenderedPageBreak/>
              <w:t>All those in the vicinity.</w:t>
            </w:r>
          </w:p>
          <w:p w:rsidR="007325C9" w:rsidRPr="00944029" w:rsidRDefault="007325C9" w:rsidP="00944029">
            <w:pPr>
              <w:jc w:val="both"/>
              <w:rPr>
                <w:sz w:val="22"/>
                <w:szCs w:val="22"/>
              </w:rPr>
            </w:pPr>
          </w:p>
          <w:p w:rsidR="007325C9" w:rsidRPr="00944029" w:rsidRDefault="007325C9" w:rsidP="00944029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  <w:p w:rsidR="0020100F" w:rsidRPr="00944029" w:rsidRDefault="0020100F" w:rsidP="00944029">
            <w:pPr>
              <w:jc w:val="both"/>
              <w:rPr>
                <w:sz w:val="22"/>
                <w:szCs w:val="22"/>
              </w:rPr>
            </w:pPr>
          </w:p>
          <w:p w:rsidR="00A64588" w:rsidRPr="00944029" w:rsidRDefault="00A64588" w:rsidP="0094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A6DF3" w:rsidRPr="00944029" w:rsidRDefault="00BA6DF3" w:rsidP="00006F97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Spent mercury bulbs should </w:t>
            </w:r>
            <w:r w:rsidR="00AC6DC4" w:rsidRPr="00944029">
              <w:rPr>
                <w:sz w:val="22"/>
                <w:szCs w:val="22"/>
              </w:rPr>
              <w:t xml:space="preserve">be </w:t>
            </w:r>
            <w:r w:rsidRPr="00944029">
              <w:rPr>
                <w:sz w:val="22"/>
                <w:szCs w:val="22"/>
              </w:rPr>
              <w:t xml:space="preserve">stockpiled and then taken to hazardous waste disposal. </w:t>
            </w:r>
          </w:p>
          <w:p w:rsidR="00BA6DF3" w:rsidRPr="00944029" w:rsidRDefault="00BA6DF3" w:rsidP="00944029">
            <w:pPr>
              <w:jc w:val="both"/>
              <w:rPr>
                <w:sz w:val="22"/>
                <w:szCs w:val="22"/>
              </w:rPr>
            </w:pPr>
          </w:p>
          <w:p w:rsidR="00BB7C2E" w:rsidRPr="00944029" w:rsidRDefault="00BB7C2E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Mercury vapour lamps contain very little </w:t>
            </w:r>
            <w:r w:rsidR="00372F13" w:rsidRPr="00944029">
              <w:rPr>
                <w:sz w:val="22"/>
                <w:szCs w:val="22"/>
              </w:rPr>
              <w:t>mercury</w:t>
            </w:r>
            <w:r w:rsidRPr="00944029">
              <w:rPr>
                <w:sz w:val="22"/>
                <w:szCs w:val="22"/>
              </w:rPr>
              <w:t xml:space="preserve"> but care should still be taken especially if more than one lamp has been broken.</w:t>
            </w:r>
          </w:p>
          <w:p w:rsidR="00BB7C2E" w:rsidRPr="00944029" w:rsidRDefault="00BB7C2E" w:rsidP="00944029">
            <w:pPr>
              <w:jc w:val="both"/>
              <w:rPr>
                <w:sz w:val="22"/>
                <w:szCs w:val="22"/>
              </w:rPr>
            </w:pPr>
          </w:p>
          <w:p w:rsidR="007325C9" w:rsidRPr="00944029" w:rsidRDefault="007325C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Procedure to be followed</w:t>
            </w:r>
            <w:r w:rsidR="00E0705F" w:rsidRPr="00944029">
              <w:rPr>
                <w:sz w:val="22"/>
                <w:szCs w:val="22"/>
              </w:rPr>
              <w:t xml:space="preserve"> </w:t>
            </w:r>
          </w:p>
          <w:p w:rsidR="007325C9" w:rsidRPr="00944029" w:rsidRDefault="007325C9" w:rsidP="00944029">
            <w:pPr>
              <w:ind w:left="57"/>
              <w:jc w:val="both"/>
              <w:rPr>
                <w:sz w:val="22"/>
                <w:szCs w:val="22"/>
              </w:rPr>
            </w:pPr>
          </w:p>
          <w:p w:rsidR="007325C9" w:rsidRPr="00944029" w:rsidRDefault="00936D94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Immediately:</w:t>
            </w:r>
          </w:p>
          <w:p w:rsidR="001A3010" w:rsidRPr="00944029" w:rsidRDefault="001A3010" w:rsidP="0094402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sz w:val="22"/>
                <w:szCs w:val="22"/>
                <w:lang w:eastAsia="en-GB"/>
              </w:rPr>
              <w:t>Stop the spill of mercury spreading by creating dikes of blue roll</w:t>
            </w:r>
          </w:p>
          <w:p w:rsidR="007325C9" w:rsidRPr="00944029" w:rsidRDefault="007325C9" w:rsidP="0094402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sz w:val="22"/>
                <w:szCs w:val="22"/>
                <w:lang w:eastAsia="en-GB"/>
              </w:rPr>
              <w:t>Stop all foot traffic in the vicinity of the spill</w:t>
            </w:r>
            <w:r w:rsidR="00BF1068" w:rsidRPr="00944029">
              <w:rPr>
                <w:sz w:val="22"/>
                <w:szCs w:val="22"/>
                <w:lang w:eastAsia="en-GB"/>
              </w:rPr>
              <w:t xml:space="preserve"> and evacuate the immediate area</w:t>
            </w:r>
            <w:r w:rsidRPr="00944029">
              <w:rPr>
                <w:sz w:val="22"/>
                <w:szCs w:val="22"/>
                <w:lang w:eastAsia="en-GB"/>
              </w:rPr>
              <w:t xml:space="preserve">. </w:t>
            </w:r>
          </w:p>
          <w:p w:rsidR="007325C9" w:rsidRPr="00944029" w:rsidRDefault="007325C9" w:rsidP="0094402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sz w:val="22"/>
                <w:szCs w:val="22"/>
                <w:lang w:eastAsia="en-GB"/>
              </w:rPr>
              <w:t xml:space="preserve">Stop further activity in lab until </w:t>
            </w:r>
            <w:r w:rsidR="00136A7B" w:rsidRPr="00944029">
              <w:rPr>
                <w:sz w:val="22"/>
                <w:szCs w:val="22"/>
                <w:lang w:eastAsia="en-GB"/>
              </w:rPr>
              <w:t>clean-up</w:t>
            </w:r>
            <w:r w:rsidRPr="00944029">
              <w:rPr>
                <w:sz w:val="22"/>
                <w:szCs w:val="22"/>
                <w:lang w:eastAsia="en-GB"/>
              </w:rPr>
              <w:t xml:space="preserve"> is complete. </w:t>
            </w:r>
          </w:p>
          <w:p w:rsidR="007325C9" w:rsidRPr="00944029" w:rsidRDefault="007325C9" w:rsidP="0094402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sz w:val="22"/>
                <w:szCs w:val="22"/>
                <w:lang w:eastAsia="en-GB"/>
              </w:rPr>
              <w:t xml:space="preserve">While in the area, place </w:t>
            </w:r>
            <w:r w:rsidR="00136A7B" w:rsidRPr="00944029">
              <w:rPr>
                <w:sz w:val="22"/>
                <w:szCs w:val="22"/>
                <w:lang w:eastAsia="en-GB"/>
              </w:rPr>
              <w:t>overshoes over normal</w:t>
            </w:r>
            <w:r w:rsidRPr="00944029">
              <w:rPr>
                <w:sz w:val="22"/>
                <w:szCs w:val="22"/>
                <w:lang w:eastAsia="en-GB"/>
              </w:rPr>
              <w:t xml:space="preserve"> shoes to protect them from contamination. </w:t>
            </w:r>
          </w:p>
          <w:p w:rsidR="009E5212" w:rsidRPr="00944029" w:rsidRDefault="00136A7B" w:rsidP="009440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sz w:val="22"/>
                <w:szCs w:val="22"/>
                <w:lang w:eastAsia="en-GB"/>
              </w:rPr>
              <w:lastRenderedPageBreak/>
              <w:t>(</w:t>
            </w:r>
            <w:r w:rsidR="007325C9" w:rsidRPr="00944029">
              <w:rPr>
                <w:sz w:val="22"/>
                <w:szCs w:val="22"/>
                <w:lang w:eastAsia="en-GB"/>
              </w:rPr>
              <w:t xml:space="preserve">The </w:t>
            </w:r>
            <w:r w:rsidRPr="00944029">
              <w:rPr>
                <w:sz w:val="22"/>
                <w:szCs w:val="22"/>
                <w:lang w:eastAsia="en-GB"/>
              </w:rPr>
              <w:t>overshoes</w:t>
            </w:r>
            <w:r w:rsidR="007325C9" w:rsidRPr="00944029">
              <w:rPr>
                <w:sz w:val="22"/>
                <w:szCs w:val="22"/>
                <w:lang w:eastAsia="en-GB"/>
              </w:rPr>
              <w:t xml:space="preserve"> should be removed before leaving the area and disposed of as hazardous waste as they may be contaminated with mercury.</w:t>
            </w:r>
            <w:r w:rsidRPr="00944029">
              <w:rPr>
                <w:sz w:val="22"/>
                <w:szCs w:val="22"/>
                <w:lang w:eastAsia="en-GB"/>
              </w:rPr>
              <w:t>)</w:t>
            </w:r>
          </w:p>
          <w:p w:rsidR="00A64588" w:rsidRPr="00944029" w:rsidRDefault="007325C9" w:rsidP="009440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944029">
              <w:rPr>
                <w:sz w:val="22"/>
                <w:szCs w:val="22"/>
                <w:lang w:eastAsia="en-GB"/>
              </w:rPr>
              <w:t xml:space="preserve">Immediately ventilate the area to provide the highest level of air circulation possible. </w:t>
            </w:r>
          </w:p>
          <w:p w:rsidR="00944029" w:rsidRDefault="00944029" w:rsidP="00006F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</w:p>
          <w:p w:rsidR="00006F97" w:rsidRPr="00006F97" w:rsidRDefault="00006F97" w:rsidP="00006F97">
            <w:pPr>
              <w:jc w:val="both"/>
              <w:rPr>
                <w:rFonts w:eastAsia="Calibri"/>
                <w:sz w:val="22"/>
                <w:szCs w:val="22"/>
              </w:rPr>
            </w:pPr>
            <w:r w:rsidRPr="00006F97">
              <w:rPr>
                <w:rFonts w:eastAsia="Calibri"/>
                <w:sz w:val="22"/>
                <w:szCs w:val="22"/>
              </w:rPr>
              <w:t>The following items of PPE must be worn: Howie-style laboratory coat, BS EN374 compliant gloves (nitrile) and BS EN166 compliant eye protection (chemical splash proof safety glasses)</w:t>
            </w:r>
            <w:r>
              <w:rPr>
                <w:rFonts w:eastAsia="Calibri"/>
                <w:sz w:val="22"/>
                <w:szCs w:val="22"/>
              </w:rPr>
              <w:t xml:space="preserve"> and a face visor</w:t>
            </w:r>
            <w:r w:rsidRPr="00006F97">
              <w:rPr>
                <w:rFonts w:eastAsia="Calibri"/>
                <w:sz w:val="22"/>
                <w:szCs w:val="22"/>
              </w:rPr>
              <w:t>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006F97" w:rsidRPr="00944029" w:rsidRDefault="00006F97" w:rsidP="00006F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</w:p>
          <w:p w:rsidR="007325C9" w:rsidRPr="00944029" w:rsidRDefault="009E0A5B" w:rsidP="00944029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944029">
              <w:rPr>
                <w:color w:val="000000"/>
                <w:sz w:val="22"/>
                <w:szCs w:val="22"/>
                <w:lang w:eastAsia="en-GB"/>
              </w:rPr>
              <w:t>R</w:t>
            </w:r>
            <w:r w:rsidR="007325C9" w:rsidRPr="00944029">
              <w:rPr>
                <w:color w:val="000000"/>
                <w:sz w:val="22"/>
                <w:szCs w:val="22"/>
                <w:lang w:eastAsia="en-GB"/>
              </w:rPr>
              <w:t>emove the larger pieces of glass, use tweezers or a fine brush – place in a suitable container and clearly label it (plastic lunc</w:t>
            </w:r>
            <w:r w:rsidR="00136A7B" w:rsidRPr="00944029">
              <w:rPr>
                <w:color w:val="000000"/>
                <w:sz w:val="22"/>
                <w:szCs w:val="22"/>
                <w:lang w:eastAsia="en-GB"/>
              </w:rPr>
              <w:t>h boxes / glass jars are good) and temporarily store it in the fume hood</w:t>
            </w:r>
          </w:p>
          <w:p w:rsidR="00381F21" w:rsidRPr="00944029" w:rsidRDefault="00136A7B" w:rsidP="00944029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944029">
              <w:rPr>
                <w:color w:val="000000"/>
                <w:sz w:val="22"/>
                <w:szCs w:val="22"/>
                <w:lang w:eastAsia="en-GB"/>
              </w:rPr>
              <w:t>Carefully g</w:t>
            </w:r>
            <w:r w:rsidR="007325C9" w:rsidRPr="00944029">
              <w:rPr>
                <w:color w:val="000000"/>
                <w:sz w:val="22"/>
                <w:szCs w:val="22"/>
                <w:lang w:eastAsia="en-GB"/>
              </w:rPr>
              <w:t>ather as much mercury together as possible by using a straight edge</w:t>
            </w:r>
            <w:r w:rsidRPr="00944029">
              <w:rPr>
                <w:color w:val="000000"/>
                <w:sz w:val="22"/>
                <w:szCs w:val="22"/>
                <w:lang w:eastAsia="en-GB"/>
              </w:rPr>
              <w:t xml:space="preserve"> e.g. a piece of </w:t>
            </w:r>
            <w:r w:rsidR="00425F94" w:rsidRPr="00944029">
              <w:rPr>
                <w:color w:val="000000"/>
                <w:sz w:val="22"/>
                <w:szCs w:val="22"/>
                <w:lang w:eastAsia="en-GB"/>
              </w:rPr>
              <w:t xml:space="preserve">cardboard. </w:t>
            </w:r>
            <w:r w:rsidR="007325C9" w:rsidRPr="00944029">
              <w:rPr>
                <w:color w:val="000000"/>
                <w:sz w:val="22"/>
                <w:szCs w:val="22"/>
                <w:lang w:eastAsia="en-GB"/>
              </w:rPr>
              <w:t>(The larger the drops the smaller the surface face area to mass ratio and the lower the evaporation will be).</w:t>
            </w:r>
            <w:r w:rsidR="00381F21" w:rsidRPr="00944029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9E0A5B" w:rsidRPr="00944029" w:rsidRDefault="009E0A5B" w:rsidP="00944029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944029">
              <w:rPr>
                <w:color w:val="000000"/>
                <w:sz w:val="22"/>
                <w:szCs w:val="22"/>
                <w:lang w:eastAsia="en-GB"/>
              </w:rPr>
              <w:t>Collect up the mercury using a small brush / damp paper / adhesive tape. CAUTION – some small glass shards may be present.</w:t>
            </w:r>
          </w:p>
          <w:p w:rsidR="0020100F" w:rsidRPr="00944029" w:rsidRDefault="007325C9" w:rsidP="00944029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944029">
              <w:rPr>
                <w:color w:val="000000"/>
                <w:sz w:val="22"/>
                <w:szCs w:val="22"/>
                <w:lang w:eastAsia="en-GB"/>
              </w:rPr>
              <w:t>Place in a sealable plastic box and clearly label it. Close the box, dispose of</w:t>
            </w:r>
            <w:r w:rsidR="00E0705F" w:rsidRPr="00944029">
              <w:rPr>
                <w:color w:val="000000"/>
                <w:sz w:val="22"/>
                <w:szCs w:val="22"/>
                <w:lang w:eastAsia="en-GB"/>
              </w:rPr>
              <w:t xml:space="preserve"> as mercury contaminated hazardous waste.</w:t>
            </w:r>
          </w:p>
          <w:p w:rsidR="00006F97" w:rsidRPr="00944029" w:rsidRDefault="007325C9" w:rsidP="00006F97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 xml:space="preserve">Sprinkle the affected area(s) with </w:t>
            </w:r>
            <w:r w:rsidR="00006F97">
              <w:rPr>
                <w:sz w:val="22"/>
                <w:szCs w:val="22"/>
              </w:rPr>
              <w:t>granules from the mercury spills kit, located outside the MIB Safety Office</w:t>
            </w:r>
            <w:r w:rsidR="00381F21" w:rsidRPr="00944029">
              <w:rPr>
                <w:sz w:val="22"/>
                <w:szCs w:val="22"/>
              </w:rPr>
              <w:t xml:space="preserve"> </w:t>
            </w:r>
            <w:r w:rsidR="00006F97">
              <w:rPr>
                <w:sz w:val="22"/>
                <w:szCs w:val="22"/>
              </w:rPr>
              <w:t>(</w:t>
            </w:r>
            <w:r w:rsidR="009E0A5B" w:rsidRPr="00944029">
              <w:rPr>
                <w:rStyle w:val="Strong"/>
                <w:b w:val="0"/>
                <w:sz w:val="22"/>
                <w:szCs w:val="22"/>
              </w:rPr>
              <w:t>2.015</w:t>
            </w:r>
            <w:r w:rsidR="00337D08" w:rsidRPr="00944029">
              <w:rPr>
                <w:rStyle w:val="Strong"/>
                <w:b w:val="0"/>
                <w:sz w:val="22"/>
                <w:szCs w:val="22"/>
              </w:rPr>
              <w:t>)</w:t>
            </w:r>
            <w:r w:rsidR="00006F97">
              <w:rPr>
                <w:rStyle w:val="Strong"/>
                <w:b w:val="0"/>
                <w:sz w:val="22"/>
                <w:szCs w:val="22"/>
              </w:rPr>
              <w:t xml:space="preserve"> and follow the enclosed instructions.</w:t>
            </w:r>
            <w:r w:rsidR="00337D08" w:rsidRPr="00944029">
              <w:rPr>
                <w:sz w:val="22"/>
                <w:szCs w:val="22"/>
              </w:rPr>
              <w:t xml:space="preserve"> </w:t>
            </w:r>
          </w:p>
          <w:p w:rsidR="007325C9" w:rsidRPr="00944029" w:rsidRDefault="007325C9" w:rsidP="009440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944029">
              <w:rPr>
                <w:color w:val="000000"/>
                <w:sz w:val="22"/>
                <w:szCs w:val="22"/>
                <w:lang w:eastAsia="en-GB"/>
              </w:rPr>
              <w:lastRenderedPageBreak/>
              <w:t>This shoul</w:t>
            </w:r>
            <w:r w:rsidR="00006F97">
              <w:rPr>
                <w:color w:val="000000"/>
                <w:sz w:val="22"/>
                <w:szCs w:val="22"/>
                <w:lang w:eastAsia="en-GB"/>
              </w:rPr>
              <w:t>d finally be carefully swept up;</w:t>
            </w:r>
            <w:r w:rsidRPr="00944029">
              <w:rPr>
                <w:color w:val="000000"/>
                <w:sz w:val="22"/>
                <w:szCs w:val="22"/>
                <w:lang w:eastAsia="en-GB"/>
              </w:rPr>
              <w:t xml:space="preserve"> place in a suitable, labelled container as above and disposed of as </w:t>
            </w:r>
            <w:r w:rsidR="009E5212" w:rsidRPr="00944029">
              <w:rPr>
                <w:color w:val="000000"/>
                <w:sz w:val="22"/>
                <w:szCs w:val="22"/>
                <w:lang w:eastAsia="en-GB"/>
              </w:rPr>
              <w:t>hazardous</w:t>
            </w:r>
            <w:r w:rsidR="0022164E" w:rsidRPr="00944029">
              <w:rPr>
                <w:color w:val="000000"/>
                <w:sz w:val="22"/>
                <w:szCs w:val="22"/>
                <w:lang w:eastAsia="en-GB"/>
              </w:rPr>
              <w:t xml:space="preserve"> waste. </w:t>
            </w:r>
          </w:p>
          <w:p w:rsidR="007325C9" w:rsidRPr="00944029" w:rsidRDefault="00136A7B" w:rsidP="00944029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S</w:t>
            </w:r>
            <w:r w:rsidR="00425F94" w:rsidRPr="00944029">
              <w:rPr>
                <w:sz w:val="22"/>
                <w:szCs w:val="22"/>
              </w:rPr>
              <w:t xml:space="preserve">weep up with a soft brush </w:t>
            </w:r>
            <w:r w:rsidR="007325C9" w:rsidRPr="00944029">
              <w:rPr>
                <w:sz w:val="22"/>
                <w:szCs w:val="22"/>
              </w:rPr>
              <w:t xml:space="preserve">and </w:t>
            </w:r>
            <w:r w:rsidRPr="00944029">
              <w:rPr>
                <w:sz w:val="22"/>
                <w:szCs w:val="22"/>
              </w:rPr>
              <w:t>place in a sealable containers (preferably the one containing the thermometer)</w:t>
            </w:r>
            <w:r w:rsidR="00425F94" w:rsidRPr="00944029">
              <w:rPr>
                <w:sz w:val="22"/>
                <w:szCs w:val="22"/>
              </w:rPr>
              <w:t xml:space="preserve"> and temporarily store in a fume hood until is can be disposed of as hazardous waste. Dispose of the brush and pan used to s</w:t>
            </w:r>
            <w:r w:rsidR="00AB479E" w:rsidRPr="00944029">
              <w:rPr>
                <w:sz w:val="22"/>
                <w:szCs w:val="22"/>
              </w:rPr>
              <w:t>w</w:t>
            </w:r>
            <w:r w:rsidR="00425F94" w:rsidRPr="00944029">
              <w:rPr>
                <w:sz w:val="22"/>
                <w:szCs w:val="22"/>
              </w:rPr>
              <w:t>eep up.</w:t>
            </w:r>
          </w:p>
          <w:p w:rsidR="00425F94" w:rsidRPr="00142494" w:rsidRDefault="00AB479E" w:rsidP="00142494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Wash hands thoroughly with soap and water</w:t>
            </w:r>
          </w:p>
          <w:p w:rsidR="007325C9" w:rsidRPr="00944029" w:rsidRDefault="007325C9" w:rsidP="00142494">
            <w:pPr>
              <w:autoSpaceDE w:val="0"/>
              <w:autoSpaceDN w:val="0"/>
              <w:adjustRightInd w:val="0"/>
              <w:ind w:left="57"/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944029">
              <w:rPr>
                <w:color w:val="000000"/>
                <w:sz w:val="22"/>
                <w:szCs w:val="22"/>
                <w:lang w:eastAsia="en-GB"/>
              </w:rPr>
              <w:t xml:space="preserve">Finally </w:t>
            </w:r>
          </w:p>
          <w:p w:rsidR="007325C9" w:rsidRPr="00142494" w:rsidRDefault="00E0705F" w:rsidP="001424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944029">
              <w:rPr>
                <w:color w:val="000000"/>
                <w:sz w:val="22"/>
                <w:szCs w:val="22"/>
                <w:lang w:eastAsia="en-GB"/>
              </w:rPr>
              <w:t>C</w:t>
            </w:r>
            <w:r w:rsidR="00425F94" w:rsidRPr="00944029">
              <w:rPr>
                <w:color w:val="000000"/>
                <w:sz w:val="22"/>
                <w:szCs w:val="22"/>
                <w:lang w:eastAsia="en-GB"/>
              </w:rPr>
              <w:t xml:space="preserve">omplete an incident report form </w:t>
            </w:r>
            <w:r w:rsidR="00944029" w:rsidRPr="00944029">
              <w:rPr>
                <w:color w:val="000000"/>
                <w:sz w:val="22"/>
                <w:szCs w:val="22"/>
                <w:lang w:eastAsia="en-GB"/>
              </w:rPr>
              <w:t>and return to MIB Safety Office</w:t>
            </w:r>
          </w:p>
        </w:tc>
        <w:tc>
          <w:tcPr>
            <w:tcW w:w="1134" w:type="dxa"/>
          </w:tcPr>
          <w:p w:rsidR="0020100F" w:rsidRPr="00944029" w:rsidRDefault="00BB7C2E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851" w:type="dxa"/>
          </w:tcPr>
          <w:p w:rsidR="0020100F" w:rsidRPr="00944029" w:rsidRDefault="007325C9" w:rsidP="00944029">
            <w:pPr>
              <w:jc w:val="both"/>
              <w:rPr>
                <w:sz w:val="22"/>
                <w:szCs w:val="22"/>
              </w:rPr>
            </w:pPr>
            <w:r w:rsidRPr="00944029">
              <w:rPr>
                <w:sz w:val="22"/>
                <w:szCs w:val="22"/>
              </w:rPr>
              <w:t>A</w:t>
            </w:r>
          </w:p>
        </w:tc>
      </w:tr>
    </w:tbl>
    <w:p w:rsidR="00944029" w:rsidRPr="00944029" w:rsidRDefault="00944029" w:rsidP="00944029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250" w:tblpY="14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7"/>
      </w:tblGrid>
      <w:tr w:rsidR="00944029" w:rsidRPr="00944029" w:rsidTr="00944029">
        <w:trPr>
          <w:trHeight w:val="577"/>
        </w:trPr>
        <w:tc>
          <w:tcPr>
            <w:tcW w:w="14317" w:type="dxa"/>
            <w:shd w:val="clear" w:color="auto" w:fill="auto"/>
          </w:tcPr>
          <w:p w:rsidR="00944029" w:rsidRPr="00944029" w:rsidRDefault="00944029" w:rsidP="00944029">
            <w:pPr>
              <w:jc w:val="both"/>
              <w:rPr>
                <w:color w:val="FF0000"/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944029" w:rsidRPr="00944029" w:rsidRDefault="00944029" w:rsidP="00944029">
            <w:pPr>
              <w:jc w:val="both"/>
              <w:rPr>
                <w:b/>
                <w:sz w:val="22"/>
                <w:szCs w:val="22"/>
              </w:rPr>
            </w:pPr>
          </w:p>
          <w:p w:rsidR="00944029" w:rsidRPr="00944029" w:rsidRDefault="00944029" w:rsidP="00944029">
            <w:pPr>
              <w:jc w:val="both"/>
              <w:rPr>
                <w:b/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944029" w:rsidRPr="00944029" w:rsidRDefault="00944029" w:rsidP="00944029">
            <w:pPr>
              <w:jc w:val="both"/>
              <w:rPr>
                <w:b/>
                <w:sz w:val="22"/>
                <w:szCs w:val="22"/>
              </w:rPr>
            </w:pPr>
          </w:p>
          <w:p w:rsidR="00944029" w:rsidRPr="00944029" w:rsidRDefault="00944029" w:rsidP="00944029">
            <w:pPr>
              <w:jc w:val="both"/>
              <w:rPr>
                <w:b/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944029" w:rsidRPr="00944029" w:rsidRDefault="00944029" w:rsidP="00944029">
            <w:pPr>
              <w:jc w:val="both"/>
              <w:rPr>
                <w:b/>
                <w:sz w:val="22"/>
                <w:szCs w:val="22"/>
              </w:rPr>
            </w:pPr>
          </w:p>
          <w:p w:rsidR="00944029" w:rsidRPr="00944029" w:rsidRDefault="00944029" w:rsidP="00944029">
            <w:pPr>
              <w:jc w:val="both"/>
              <w:rPr>
                <w:b/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>Date:</w:t>
            </w:r>
          </w:p>
          <w:p w:rsidR="00944029" w:rsidRPr="00944029" w:rsidRDefault="00944029" w:rsidP="0094402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44029" w:rsidRPr="00944029" w:rsidRDefault="00944029" w:rsidP="00944029">
      <w:pPr>
        <w:jc w:val="both"/>
        <w:rPr>
          <w:sz w:val="22"/>
          <w:szCs w:val="22"/>
        </w:rPr>
      </w:pPr>
    </w:p>
    <w:p w:rsidR="00944029" w:rsidRPr="00944029" w:rsidRDefault="00944029" w:rsidP="00944029">
      <w:pPr>
        <w:rPr>
          <w:sz w:val="22"/>
          <w:szCs w:val="22"/>
        </w:rPr>
      </w:pPr>
    </w:p>
    <w:p w:rsidR="000A41E2" w:rsidRPr="00D93B19" w:rsidRDefault="000A41E2" w:rsidP="000A41E2">
      <w:pPr>
        <w:jc w:val="both"/>
        <w:rPr>
          <w:sz w:val="22"/>
          <w:szCs w:val="22"/>
        </w:rPr>
      </w:pPr>
      <w:r w:rsidRPr="00D93B19">
        <w:rPr>
          <w:b/>
          <w:sz w:val="22"/>
          <w:szCs w:val="22"/>
          <w:u w:val="single"/>
        </w:rPr>
        <w:t>Declaration by researcher</w:t>
      </w:r>
    </w:p>
    <w:p w:rsidR="000A41E2" w:rsidRPr="00D93B19" w:rsidRDefault="000A41E2" w:rsidP="000A41E2">
      <w:pPr>
        <w:jc w:val="both"/>
        <w:rPr>
          <w:b/>
          <w:sz w:val="22"/>
          <w:szCs w:val="22"/>
        </w:rPr>
      </w:pPr>
      <w:r w:rsidRPr="00D93B19">
        <w:rPr>
          <w:b/>
          <w:sz w:val="22"/>
          <w:szCs w:val="22"/>
        </w:rPr>
        <w:t>I confirm that I have read this Risk Assessment and that I understand the hazards and risks involved and will follow all of the safety procedures stated</w:t>
      </w:r>
      <w:r w:rsidRPr="00AA36B0">
        <w:rPr>
          <w:b/>
          <w:sz w:val="22"/>
          <w:szCs w:val="22"/>
        </w:rPr>
        <w:t>. Where PPE has been identified as a control measure, I will ensure that it is worn.</w:t>
      </w:r>
    </w:p>
    <w:p w:rsidR="00944029" w:rsidRPr="00944029" w:rsidRDefault="00944029" w:rsidP="00944029">
      <w:pPr>
        <w:jc w:val="both"/>
        <w:rPr>
          <w:b/>
          <w:sz w:val="22"/>
          <w:szCs w:val="22"/>
          <w:u w:val="single"/>
        </w:rPr>
      </w:pPr>
    </w:p>
    <w:p w:rsidR="00944029" w:rsidRPr="00944029" w:rsidRDefault="00944029" w:rsidP="00944029">
      <w:pPr>
        <w:jc w:val="both"/>
        <w:rPr>
          <w:sz w:val="22"/>
          <w:szCs w:val="22"/>
        </w:rPr>
      </w:pPr>
      <w:r w:rsidRPr="00944029">
        <w:rPr>
          <w:b/>
          <w:sz w:val="22"/>
          <w:szCs w:val="22"/>
          <w:u w:val="single"/>
        </w:rPr>
        <w:t>Declaration by PI</w:t>
      </w:r>
    </w:p>
    <w:p w:rsidR="00944029" w:rsidRPr="00944029" w:rsidRDefault="00944029" w:rsidP="00944029">
      <w:pPr>
        <w:jc w:val="both"/>
        <w:rPr>
          <w:b/>
          <w:sz w:val="22"/>
          <w:szCs w:val="22"/>
        </w:rPr>
      </w:pPr>
      <w:r w:rsidRPr="00944029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944029" w:rsidRDefault="00944029" w:rsidP="00944029">
      <w:pPr>
        <w:jc w:val="both"/>
        <w:rPr>
          <w:sz w:val="22"/>
          <w:szCs w:val="22"/>
        </w:rPr>
      </w:pPr>
    </w:p>
    <w:p w:rsidR="00006F97" w:rsidRPr="00944029" w:rsidRDefault="00006F97" w:rsidP="00944029">
      <w:pPr>
        <w:jc w:val="both"/>
        <w:rPr>
          <w:sz w:val="22"/>
          <w:szCs w:val="22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536"/>
        <w:gridCol w:w="4536"/>
        <w:gridCol w:w="1985"/>
      </w:tblGrid>
      <w:tr w:rsidR="00944029" w:rsidRPr="00944029" w:rsidTr="00944029">
        <w:tc>
          <w:tcPr>
            <w:tcW w:w="3260" w:type="dxa"/>
            <w:shd w:val="clear" w:color="auto" w:fill="auto"/>
          </w:tcPr>
          <w:p w:rsidR="00944029" w:rsidRPr="00944029" w:rsidRDefault="00944029" w:rsidP="008E5254">
            <w:pPr>
              <w:jc w:val="both"/>
              <w:rPr>
                <w:b/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lastRenderedPageBreak/>
              <w:t>Name (please print)</w:t>
            </w:r>
          </w:p>
          <w:p w:rsidR="00944029" w:rsidRPr="00944029" w:rsidRDefault="00944029" w:rsidP="008E525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44029" w:rsidRPr="00944029" w:rsidRDefault="00944029" w:rsidP="008E5254">
            <w:pPr>
              <w:jc w:val="both"/>
              <w:rPr>
                <w:b/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shd w:val="clear" w:color="auto" w:fill="auto"/>
          </w:tcPr>
          <w:p w:rsidR="00944029" w:rsidRPr="00944029" w:rsidRDefault="00944029" w:rsidP="008E5254">
            <w:pPr>
              <w:jc w:val="both"/>
              <w:rPr>
                <w:b/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985" w:type="dxa"/>
            <w:shd w:val="clear" w:color="auto" w:fill="auto"/>
          </w:tcPr>
          <w:p w:rsidR="00944029" w:rsidRPr="00944029" w:rsidRDefault="00944029" w:rsidP="008E5254">
            <w:pPr>
              <w:jc w:val="both"/>
              <w:rPr>
                <w:b/>
                <w:sz w:val="22"/>
                <w:szCs w:val="22"/>
              </w:rPr>
            </w:pPr>
            <w:r w:rsidRPr="00944029">
              <w:rPr>
                <w:b/>
                <w:sz w:val="22"/>
                <w:szCs w:val="22"/>
              </w:rPr>
              <w:t>date</w:t>
            </w:r>
          </w:p>
        </w:tc>
      </w:tr>
      <w:tr w:rsidR="00006F97" w:rsidRPr="00944029" w:rsidTr="00944029">
        <w:trPr>
          <w:trHeight w:val="679"/>
        </w:trPr>
        <w:tc>
          <w:tcPr>
            <w:tcW w:w="3260" w:type="dxa"/>
            <w:shd w:val="clear" w:color="auto" w:fill="auto"/>
          </w:tcPr>
          <w:p w:rsidR="00006F97" w:rsidRPr="00944029" w:rsidRDefault="00006F97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</w:tr>
      <w:tr w:rsidR="00006F97" w:rsidRPr="00944029" w:rsidTr="00944029">
        <w:trPr>
          <w:trHeight w:val="679"/>
        </w:trPr>
        <w:tc>
          <w:tcPr>
            <w:tcW w:w="3260" w:type="dxa"/>
            <w:shd w:val="clear" w:color="auto" w:fill="auto"/>
          </w:tcPr>
          <w:p w:rsidR="00006F97" w:rsidRPr="00944029" w:rsidRDefault="00006F97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</w:tr>
      <w:tr w:rsidR="00006F97" w:rsidRPr="00944029" w:rsidTr="00944029">
        <w:trPr>
          <w:trHeight w:val="679"/>
        </w:trPr>
        <w:tc>
          <w:tcPr>
            <w:tcW w:w="3260" w:type="dxa"/>
            <w:shd w:val="clear" w:color="auto" w:fill="auto"/>
          </w:tcPr>
          <w:p w:rsidR="00006F97" w:rsidRPr="00944029" w:rsidRDefault="00006F97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</w:tr>
      <w:tr w:rsidR="00006F97" w:rsidRPr="00944029" w:rsidTr="00944029">
        <w:trPr>
          <w:trHeight w:val="679"/>
        </w:trPr>
        <w:tc>
          <w:tcPr>
            <w:tcW w:w="3260" w:type="dxa"/>
            <w:shd w:val="clear" w:color="auto" w:fill="auto"/>
          </w:tcPr>
          <w:p w:rsidR="00006F97" w:rsidRPr="00944029" w:rsidRDefault="00006F97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</w:tr>
      <w:tr w:rsidR="00006F97" w:rsidRPr="00944029" w:rsidTr="00944029">
        <w:trPr>
          <w:trHeight w:val="679"/>
        </w:trPr>
        <w:tc>
          <w:tcPr>
            <w:tcW w:w="3260" w:type="dxa"/>
            <w:shd w:val="clear" w:color="auto" w:fill="auto"/>
          </w:tcPr>
          <w:p w:rsidR="00006F97" w:rsidRPr="00944029" w:rsidRDefault="00006F97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</w:tr>
      <w:tr w:rsidR="00006F97" w:rsidRPr="00944029" w:rsidTr="00944029">
        <w:trPr>
          <w:trHeight w:val="679"/>
        </w:trPr>
        <w:tc>
          <w:tcPr>
            <w:tcW w:w="3260" w:type="dxa"/>
            <w:shd w:val="clear" w:color="auto" w:fill="auto"/>
          </w:tcPr>
          <w:p w:rsidR="00006F97" w:rsidRPr="00944029" w:rsidRDefault="00006F97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</w:tr>
      <w:tr w:rsidR="00006F97" w:rsidRPr="00944029" w:rsidTr="00944029">
        <w:trPr>
          <w:trHeight w:val="679"/>
        </w:trPr>
        <w:tc>
          <w:tcPr>
            <w:tcW w:w="3260" w:type="dxa"/>
            <w:shd w:val="clear" w:color="auto" w:fill="auto"/>
          </w:tcPr>
          <w:p w:rsidR="00006F97" w:rsidRPr="00944029" w:rsidRDefault="00006F97" w:rsidP="004F1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6F97" w:rsidRPr="00944029" w:rsidRDefault="00006F97" w:rsidP="008E5254">
            <w:pPr>
              <w:jc w:val="both"/>
              <w:rPr>
                <w:sz w:val="22"/>
                <w:szCs w:val="22"/>
              </w:rPr>
            </w:pPr>
          </w:p>
        </w:tc>
      </w:tr>
    </w:tbl>
    <w:p w:rsidR="00944029" w:rsidRPr="00944029" w:rsidRDefault="00944029" w:rsidP="00006F97">
      <w:pPr>
        <w:rPr>
          <w:sz w:val="22"/>
          <w:szCs w:val="22"/>
        </w:rPr>
      </w:pPr>
      <w:bookmarkStart w:id="0" w:name="_GoBack"/>
      <w:bookmarkEnd w:id="0"/>
    </w:p>
    <w:p w:rsidR="00BA73D6" w:rsidRPr="00944029" w:rsidRDefault="00BA73D6" w:rsidP="00944029">
      <w:pPr>
        <w:jc w:val="both"/>
        <w:rPr>
          <w:b/>
          <w:sz w:val="22"/>
          <w:szCs w:val="22"/>
          <w:u w:val="single"/>
        </w:rPr>
      </w:pPr>
    </w:p>
    <w:sectPr w:rsidR="00BA73D6" w:rsidRPr="00944029" w:rsidSect="00142494">
      <w:pgSz w:w="16838" w:h="11906" w:orient="landscape" w:code="9"/>
      <w:pgMar w:top="1559" w:right="124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A4" w:rsidRDefault="001356A4">
      <w:r>
        <w:separator/>
      </w:r>
    </w:p>
  </w:endnote>
  <w:endnote w:type="continuationSeparator" w:id="0">
    <w:p w:rsidR="001356A4" w:rsidRDefault="0013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A4" w:rsidRDefault="001356A4">
      <w:r>
        <w:separator/>
      </w:r>
    </w:p>
  </w:footnote>
  <w:footnote w:type="continuationSeparator" w:id="0">
    <w:p w:rsidR="001356A4" w:rsidRDefault="0013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6C0"/>
    <w:multiLevelType w:val="hybridMultilevel"/>
    <w:tmpl w:val="2E54B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C3E60"/>
    <w:multiLevelType w:val="hybridMultilevel"/>
    <w:tmpl w:val="3D6A841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C54FD"/>
    <w:multiLevelType w:val="hybridMultilevel"/>
    <w:tmpl w:val="81EA509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716E5815"/>
    <w:multiLevelType w:val="hybridMultilevel"/>
    <w:tmpl w:val="DAB2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06F97"/>
    <w:rsid w:val="000113D7"/>
    <w:rsid w:val="00025E76"/>
    <w:rsid w:val="00076B01"/>
    <w:rsid w:val="00097846"/>
    <w:rsid w:val="000A41E2"/>
    <w:rsid w:val="000B54E9"/>
    <w:rsid w:val="001356A4"/>
    <w:rsid w:val="00136A7B"/>
    <w:rsid w:val="00142494"/>
    <w:rsid w:val="001A3010"/>
    <w:rsid w:val="001B7842"/>
    <w:rsid w:val="001D5D34"/>
    <w:rsid w:val="001D75FC"/>
    <w:rsid w:val="0020100F"/>
    <w:rsid w:val="0022164E"/>
    <w:rsid w:val="0028108F"/>
    <w:rsid w:val="002D7ABB"/>
    <w:rsid w:val="00337D08"/>
    <w:rsid w:val="00372F13"/>
    <w:rsid w:val="00381F21"/>
    <w:rsid w:val="00383CA0"/>
    <w:rsid w:val="003B1361"/>
    <w:rsid w:val="00425F94"/>
    <w:rsid w:val="0058249F"/>
    <w:rsid w:val="00606E89"/>
    <w:rsid w:val="00642959"/>
    <w:rsid w:val="006B43C9"/>
    <w:rsid w:val="00700A10"/>
    <w:rsid w:val="007325C9"/>
    <w:rsid w:val="00791668"/>
    <w:rsid w:val="007F0B7D"/>
    <w:rsid w:val="00856A77"/>
    <w:rsid w:val="008F47E5"/>
    <w:rsid w:val="00936D94"/>
    <w:rsid w:val="00944029"/>
    <w:rsid w:val="009A50BD"/>
    <w:rsid w:val="009E0A5B"/>
    <w:rsid w:val="009E5212"/>
    <w:rsid w:val="00A64588"/>
    <w:rsid w:val="00AB479E"/>
    <w:rsid w:val="00AC6DC4"/>
    <w:rsid w:val="00AE1A75"/>
    <w:rsid w:val="00B15867"/>
    <w:rsid w:val="00B613A2"/>
    <w:rsid w:val="00B765F3"/>
    <w:rsid w:val="00B80912"/>
    <w:rsid w:val="00BA6DF3"/>
    <w:rsid w:val="00BA73D6"/>
    <w:rsid w:val="00BB7C2E"/>
    <w:rsid w:val="00BE455A"/>
    <w:rsid w:val="00BF1068"/>
    <w:rsid w:val="00C537B7"/>
    <w:rsid w:val="00C66350"/>
    <w:rsid w:val="00CA2B83"/>
    <w:rsid w:val="00CD0E63"/>
    <w:rsid w:val="00D73EB7"/>
    <w:rsid w:val="00D76250"/>
    <w:rsid w:val="00DB7477"/>
    <w:rsid w:val="00E01D5E"/>
    <w:rsid w:val="00E0705F"/>
    <w:rsid w:val="00E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5D3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32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325C9"/>
    <w:rPr>
      <w:color w:val="0000FF"/>
      <w:u w:val="single"/>
    </w:rPr>
  </w:style>
  <w:style w:type="character" w:customStyle="1" w:styleId="FooterChar">
    <w:name w:val="Footer Char"/>
    <w:link w:val="Footer"/>
    <w:rsid w:val="00BA73D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A73D6"/>
    <w:pPr>
      <w:ind w:left="720"/>
    </w:pPr>
  </w:style>
  <w:style w:type="character" w:styleId="Strong">
    <w:name w:val="Strong"/>
    <w:uiPriority w:val="22"/>
    <w:qFormat/>
    <w:rsid w:val="0033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UMIST, ISD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mprss02</dc:creator>
  <cp:lastModifiedBy>Tanya Aspinall</cp:lastModifiedBy>
  <cp:revision>2</cp:revision>
  <dcterms:created xsi:type="dcterms:W3CDTF">2015-01-30T13:27:00Z</dcterms:created>
  <dcterms:modified xsi:type="dcterms:W3CDTF">2015-01-30T13:27:00Z</dcterms:modified>
</cp:coreProperties>
</file>