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6774EC" w:rsidRDefault="00917D5E">
      <w:pPr>
        <w:pStyle w:val="BodyTextIndent"/>
        <w:rPr>
          <w:sz w:val="22"/>
          <w:szCs w:val="22"/>
          <w:u w:val="single"/>
        </w:rPr>
      </w:pPr>
      <w:r w:rsidRPr="006774EC">
        <w:rPr>
          <w:b/>
          <w:bCs/>
          <w:sz w:val="22"/>
          <w:szCs w:val="22"/>
          <w:u w:val="single"/>
        </w:rPr>
        <w:t xml:space="preserve">MIB </w:t>
      </w:r>
      <w:r w:rsidR="0005133D" w:rsidRPr="006774EC">
        <w:rPr>
          <w:b/>
          <w:bCs/>
          <w:sz w:val="22"/>
          <w:szCs w:val="22"/>
          <w:u w:val="single"/>
        </w:rPr>
        <w:t>Risk Assessment Form</w:t>
      </w:r>
    </w:p>
    <w:p w:rsidR="0005133D" w:rsidRPr="006774EC" w:rsidRDefault="003F4B4C">
      <w:pPr>
        <w:pStyle w:val="BodyTextIndent"/>
        <w:rPr>
          <w:sz w:val="22"/>
          <w:szCs w:val="22"/>
        </w:rPr>
      </w:pPr>
      <w:r w:rsidRPr="006774EC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1AD18E1A" wp14:editId="74453A9B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6774EC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6774EC" w:rsidTr="006774EC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774EC" w:rsidRDefault="008F47E5">
            <w:pPr>
              <w:rPr>
                <w:color w:val="FF0000"/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Date: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  <w:p w:rsidR="008F47E5" w:rsidRPr="006774EC" w:rsidRDefault="00354E95" w:rsidP="00354E95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26</w:t>
            </w:r>
            <w:r w:rsidR="00E4383A" w:rsidRPr="006774EC">
              <w:rPr>
                <w:sz w:val="22"/>
                <w:szCs w:val="22"/>
              </w:rPr>
              <w:t>/</w:t>
            </w:r>
            <w:r w:rsidRPr="006774EC">
              <w:rPr>
                <w:sz w:val="22"/>
                <w:szCs w:val="22"/>
              </w:rPr>
              <w:t>01</w:t>
            </w:r>
            <w:r w:rsidR="00E4383A" w:rsidRPr="006774EC">
              <w:rPr>
                <w:sz w:val="22"/>
                <w:szCs w:val="22"/>
              </w:rPr>
              <w:t>/</w:t>
            </w:r>
            <w:r w:rsidR="00220FCE" w:rsidRPr="006774EC">
              <w:rPr>
                <w:sz w:val="22"/>
                <w:szCs w:val="22"/>
              </w:rPr>
              <w:t>1</w:t>
            </w:r>
            <w:r w:rsidRPr="006774EC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774EC" w:rsidRDefault="008F47E5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Assessed by: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  <w:p w:rsidR="00CA2B83" w:rsidRPr="006774EC" w:rsidRDefault="00220FCE">
            <w:pPr>
              <w:rPr>
                <w:sz w:val="22"/>
                <w:szCs w:val="22"/>
              </w:rPr>
            </w:pPr>
            <w:proofErr w:type="spellStart"/>
            <w:r w:rsidRPr="006774EC">
              <w:rPr>
                <w:sz w:val="22"/>
                <w:szCs w:val="22"/>
              </w:rPr>
              <w:t>Derren</w:t>
            </w:r>
            <w:proofErr w:type="spellEnd"/>
            <w:r w:rsidRPr="006774EC">
              <w:rPr>
                <w:sz w:val="22"/>
                <w:szCs w:val="22"/>
              </w:rPr>
              <w:t xml:space="preserve"> </w:t>
            </w:r>
            <w:proofErr w:type="spellStart"/>
            <w:r w:rsidRPr="006774EC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774EC" w:rsidRDefault="00B613A2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Validated by: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  <w:p w:rsidR="00B613A2" w:rsidRPr="006774EC" w:rsidRDefault="00B613A2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6774EC" w:rsidRDefault="008F47E5">
            <w:pPr>
              <w:rPr>
                <w:color w:val="FF0000"/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Location: 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  <w:p w:rsidR="00035CE4" w:rsidRPr="006774EC" w:rsidRDefault="00035CE4" w:rsidP="002E195F">
            <w:pPr>
              <w:rPr>
                <w:color w:val="000000"/>
                <w:sz w:val="22"/>
                <w:szCs w:val="22"/>
              </w:rPr>
            </w:pPr>
            <w:r w:rsidRPr="006774EC">
              <w:rPr>
                <w:color w:val="000000"/>
                <w:sz w:val="22"/>
                <w:szCs w:val="22"/>
              </w:rPr>
              <w:t xml:space="preserve">MIB </w:t>
            </w:r>
            <w:r w:rsidR="000F4FA6" w:rsidRPr="006774EC">
              <w:rPr>
                <w:color w:val="000000"/>
                <w:sz w:val="22"/>
                <w:szCs w:val="22"/>
              </w:rPr>
              <w:t>3.0</w:t>
            </w:r>
            <w:r w:rsidR="004567CC" w:rsidRPr="006774EC">
              <w:rPr>
                <w:color w:val="000000"/>
                <w:sz w:val="22"/>
                <w:szCs w:val="22"/>
              </w:rPr>
              <w:t>5</w:t>
            </w:r>
            <w:r w:rsidR="002E195F" w:rsidRPr="006774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6774EC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774EC" w:rsidRDefault="008F47E5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Review date: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  <w:p w:rsidR="00E4383A" w:rsidRPr="006774EC" w:rsidRDefault="00354E95" w:rsidP="00354E95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26</w:t>
            </w:r>
            <w:r w:rsidR="00E4383A" w:rsidRPr="006774EC">
              <w:rPr>
                <w:sz w:val="22"/>
                <w:szCs w:val="22"/>
              </w:rPr>
              <w:t>/</w:t>
            </w:r>
            <w:r w:rsidRPr="006774EC">
              <w:rPr>
                <w:sz w:val="22"/>
                <w:szCs w:val="22"/>
              </w:rPr>
              <w:t>01</w:t>
            </w:r>
            <w:r w:rsidR="00E4383A" w:rsidRPr="006774EC">
              <w:rPr>
                <w:sz w:val="22"/>
                <w:szCs w:val="22"/>
              </w:rPr>
              <w:t>/</w:t>
            </w:r>
            <w:r w:rsidR="00220FCE" w:rsidRPr="006774EC">
              <w:rPr>
                <w:sz w:val="22"/>
                <w:szCs w:val="22"/>
              </w:rPr>
              <w:t>1</w:t>
            </w:r>
            <w:r w:rsidRPr="006774EC">
              <w:rPr>
                <w:sz w:val="22"/>
                <w:szCs w:val="22"/>
              </w:rPr>
              <w:t>6</w:t>
            </w:r>
          </w:p>
        </w:tc>
      </w:tr>
      <w:tr w:rsidR="00B613A2" w:rsidRPr="006774EC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6774EC" w:rsidRPr="006774EC" w:rsidRDefault="006774EC" w:rsidP="004567CC">
            <w:pPr>
              <w:rPr>
                <w:sz w:val="22"/>
                <w:szCs w:val="22"/>
              </w:rPr>
            </w:pPr>
          </w:p>
          <w:p w:rsidR="004567CC" w:rsidRPr="006774EC" w:rsidRDefault="00B613A2" w:rsidP="004567CC">
            <w:pPr>
              <w:rPr>
                <w:b/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Task </w:t>
            </w:r>
            <w:r w:rsidR="00917D5E" w:rsidRPr="006774EC">
              <w:rPr>
                <w:sz w:val="22"/>
                <w:szCs w:val="22"/>
              </w:rPr>
              <w:t xml:space="preserve">         </w:t>
            </w:r>
            <w:r w:rsidR="004567CC" w:rsidRPr="006774EC">
              <w:rPr>
                <w:b/>
                <w:color w:val="000000"/>
                <w:sz w:val="22"/>
                <w:szCs w:val="22"/>
              </w:rPr>
              <w:t xml:space="preserve">Use of </w:t>
            </w:r>
            <w:r w:rsidR="009A0FBE" w:rsidRPr="006774EC">
              <w:rPr>
                <w:b/>
                <w:color w:val="000000"/>
                <w:sz w:val="22"/>
                <w:szCs w:val="22"/>
              </w:rPr>
              <w:t>cryogenic</w:t>
            </w:r>
            <w:r w:rsidR="004567CC" w:rsidRPr="006774EC">
              <w:rPr>
                <w:b/>
                <w:color w:val="000000"/>
                <w:sz w:val="22"/>
                <w:szCs w:val="22"/>
              </w:rPr>
              <w:t xml:space="preserve"> stopped-flow instrument</w:t>
            </w:r>
          </w:p>
          <w:p w:rsidR="0005133D" w:rsidRPr="006774EC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6774EC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662"/>
        <w:gridCol w:w="1197"/>
        <w:gridCol w:w="984"/>
      </w:tblGrid>
      <w:tr w:rsidR="00C81AFD" w:rsidRPr="006774EC" w:rsidTr="006774EC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6774EC" w:rsidRDefault="0020100F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Activity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6774EC" w:rsidRDefault="0020100F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Hazard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6774EC" w:rsidRDefault="0020100F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Person(s) in danger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6774EC" w:rsidRDefault="0020100F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Existing measures to control risk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6774EC" w:rsidRDefault="00BD53A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Risk rating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6774EC" w:rsidRDefault="0020100F" w:rsidP="00B613A2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Result</w:t>
            </w:r>
            <w:r w:rsidR="002D7ABB" w:rsidRPr="006774EC">
              <w:rPr>
                <w:sz w:val="22"/>
                <w:szCs w:val="22"/>
              </w:rPr>
              <w:t xml:space="preserve"> </w:t>
            </w:r>
          </w:p>
        </w:tc>
      </w:tr>
      <w:tr w:rsidR="00220FCE" w:rsidRPr="006774EC" w:rsidTr="00E105A7">
        <w:trPr>
          <w:cantSplit/>
          <w:jc w:val="center"/>
        </w:trPr>
        <w:tc>
          <w:tcPr>
            <w:tcW w:w="1936" w:type="dxa"/>
          </w:tcPr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 of stopped-flow</w:t>
            </w:r>
          </w:p>
          <w:p w:rsidR="00220FCE" w:rsidRPr="006774EC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1. Electrical failure</w:t>
            </w: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2. Use of high voltage </w:t>
            </w:r>
            <w:proofErr w:type="spellStart"/>
            <w:r w:rsidRPr="006774EC">
              <w:rPr>
                <w:sz w:val="22"/>
                <w:szCs w:val="22"/>
              </w:rPr>
              <w:t>photomutiplier</w:t>
            </w:r>
            <w:proofErr w:type="spellEnd"/>
            <w:r w:rsidRPr="006774EC">
              <w:rPr>
                <w:sz w:val="22"/>
                <w:szCs w:val="22"/>
              </w:rPr>
              <w:t xml:space="preserve"> tubes</w:t>
            </w: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</w:p>
          <w:p w:rsidR="00220FCE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3. Possible exposure to toxic chemicals during sample preparation</w:t>
            </w: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4. Multiple moving parts during operation. </w:t>
            </w:r>
          </w:p>
          <w:p w:rsidR="00220FCE" w:rsidRPr="006774EC" w:rsidRDefault="00220FCE" w:rsidP="00220FC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6774EC" w:rsidRDefault="00220FCE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6774EC" w:rsidRDefault="004567C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1. All stopped-flows to be fully maintained in accordance with manufacturer’s instructions. Their servicing and repair to be carried out by the manufacturer or by suitably qualified personnel.</w:t>
            </w:r>
            <w:r w:rsidR="00A84943" w:rsidRPr="006774EC">
              <w:rPr>
                <w:color w:val="000000"/>
                <w:sz w:val="22"/>
                <w:szCs w:val="22"/>
                <w:lang w:val="en-US"/>
              </w:rPr>
              <w:t xml:space="preserve"> All electrical equipment to be fully PAT tested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2. a. Users to be instructed in the safe operation of instrumentation by Senior Experimental Officer of Fast Reaction Facility (Dr Derren Heyes, ext. 65159).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b. Always turn voltage off when handling photomultiplier tubes.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 xml:space="preserve">3. All hazardous chemicals to be used in full accordance with COSSH regulations (provided by the user). 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4. a. Ensure that all moving parts are not impeded by anything.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F2D49" w:rsidRPr="006774EC" w:rsidRDefault="004567C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sz w:val="22"/>
                <w:szCs w:val="22"/>
              </w:rPr>
              <w:t>b. W</w:t>
            </w:r>
            <w:proofErr w:type="spellStart"/>
            <w:r w:rsidRPr="006774EC">
              <w:rPr>
                <w:color w:val="000000"/>
                <w:sz w:val="22"/>
                <w:szCs w:val="22"/>
                <w:lang w:val="en-US"/>
              </w:rPr>
              <w:t>henever</w:t>
            </w:r>
            <w:proofErr w:type="spellEnd"/>
            <w:r w:rsidRPr="006774EC">
              <w:rPr>
                <w:color w:val="000000"/>
                <w:sz w:val="22"/>
                <w:szCs w:val="22"/>
                <w:lang w:val="en-US"/>
              </w:rPr>
              <w:t xml:space="preserve"> equipment does not work according to training and/or expectation, report the fault to the Senior Experimental Officer who will check the system before further use.</w:t>
            </w:r>
          </w:p>
        </w:tc>
        <w:tc>
          <w:tcPr>
            <w:tcW w:w="1197" w:type="dxa"/>
          </w:tcPr>
          <w:p w:rsidR="00220FCE" w:rsidRPr="006774EC" w:rsidRDefault="00220FCE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6774EC" w:rsidRDefault="00220FCE" w:rsidP="00F243F3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  <w:tr w:rsidR="003F4B4C" w:rsidRPr="006774EC" w:rsidTr="00E105A7">
        <w:trPr>
          <w:cantSplit/>
          <w:jc w:val="center"/>
        </w:trPr>
        <w:tc>
          <w:tcPr>
            <w:tcW w:w="1936" w:type="dxa"/>
          </w:tcPr>
          <w:p w:rsidR="003F4B4C" w:rsidRPr="006774EC" w:rsidRDefault="00DF2D49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lastRenderedPageBreak/>
              <w:t xml:space="preserve">Use of </w:t>
            </w:r>
            <w:r w:rsidR="004567CC" w:rsidRPr="006774EC">
              <w:rPr>
                <w:sz w:val="22"/>
                <w:szCs w:val="22"/>
              </w:rPr>
              <w:t>stopped-flow</w:t>
            </w:r>
          </w:p>
        </w:tc>
        <w:tc>
          <w:tcPr>
            <w:tcW w:w="1734" w:type="dxa"/>
          </w:tcPr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5. Possible exposure to UV radiation from Xenon light sources</w:t>
            </w: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</w:p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6. Very hot lamp housings after continued use</w:t>
            </w:r>
          </w:p>
          <w:p w:rsidR="003F4B4C" w:rsidRPr="006774EC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6774EC" w:rsidRDefault="003F4B4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sz w:val="22"/>
                <w:szCs w:val="22"/>
              </w:rPr>
              <w:t xml:space="preserve">5. Care to be taken when handling Xenon light sources. Avoid looking directly at the light source. 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F4B4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6. Avoid touching lamp housing when in use</w:t>
            </w:r>
            <w:r w:rsidRPr="00677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3F4B4C" w:rsidRPr="006774EC" w:rsidRDefault="003F4B4C" w:rsidP="000F4FA6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6774EC" w:rsidRDefault="003F4B4C" w:rsidP="000F4FA6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  <w:tr w:rsidR="003F4B4C" w:rsidRPr="006774EC" w:rsidTr="00E105A7">
        <w:trPr>
          <w:cantSplit/>
          <w:jc w:val="center"/>
        </w:trPr>
        <w:tc>
          <w:tcPr>
            <w:tcW w:w="1936" w:type="dxa"/>
          </w:tcPr>
          <w:p w:rsidR="003F4B4C" w:rsidRPr="006774EC" w:rsidRDefault="004567C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Changing Xenon arc lamps </w:t>
            </w:r>
          </w:p>
        </w:tc>
        <w:tc>
          <w:tcPr>
            <w:tcW w:w="1734" w:type="dxa"/>
          </w:tcPr>
          <w:p w:rsidR="004567C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Possible risk of explosion of hot lamps</w:t>
            </w:r>
          </w:p>
          <w:p w:rsidR="003F4B4C" w:rsidRPr="006774EC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6774EC" w:rsidRDefault="003F4B4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Only change lamps when they are cold</w:t>
            </w:r>
          </w:p>
          <w:p w:rsidR="004567CC" w:rsidRPr="006774E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4B4C" w:rsidRPr="006774EC" w:rsidRDefault="004567CC" w:rsidP="004567CC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Wear </w:t>
            </w:r>
            <w:r w:rsidR="00CC2A71">
              <w:rPr>
                <w:sz w:val="22"/>
                <w:szCs w:val="22"/>
              </w:rPr>
              <w:t xml:space="preserve">BS EN 166 compliant </w:t>
            </w:r>
            <w:r w:rsidRPr="006774EC">
              <w:rPr>
                <w:sz w:val="22"/>
                <w:szCs w:val="22"/>
              </w:rPr>
              <w:t>protective goggles when changing lamps</w:t>
            </w:r>
            <w:r w:rsidR="00CC2A71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</w:tcPr>
          <w:p w:rsidR="003F4B4C" w:rsidRPr="006774EC" w:rsidRDefault="003F4B4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6774EC" w:rsidRDefault="003F4B4C" w:rsidP="00F243F3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  <w:tr w:rsidR="004567CC" w:rsidRPr="006774EC" w:rsidTr="00E105A7">
        <w:trPr>
          <w:cantSplit/>
          <w:jc w:val="center"/>
        </w:trPr>
        <w:tc>
          <w:tcPr>
            <w:tcW w:w="1936" w:type="dxa"/>
          </w:tcPr>
          <w:p w:rsidR="004567CC" w:rsidRPr="006774EC" w:rsidRDefault="004567CC" w:rsidP="00DF2D49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 of N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gas</w:t>
            </w:r>
          </w:p>
        </w:tc>
        <w:tc>
          <w:tcPr>
            <w:tcW w:w="1734" w:type="dxa"/>
          </w:tcPr>
          <w:p w:rsidR="004567CC" w:rsidRPr="006774EC" w:rsidRDefault="004567C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Risk of leak of N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662" w:type="dxa"/>
          </w:tcPr>
          <w:p w:rsidR="004567CC" w:rsidRPr="006774EC" w:rsidRDefault="004567CC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All gas lines are checked regularly and used with an approved regulator.</w:t>
            </w:r>
          </w:p>
          <w:p w:rsidR="00CC2A71" w:rsidRPr="006774EC" w:rsidRDefault="00CC2A71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Never exceed the stated pressure.</w:t>
            </w:r>
          </w:p>
          <w:p w:rsidR="00CC2A71" w:rsidRPr="006774EC" w:rsidRDefault="00CC2A71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Pr="006774EC" w:rsidRDefault="004567CC" w:rsidP="00DF2D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sz w:val="22"/>
                <w:szCs w:val="22"/>
              </w:rPr>
              <w:t>Low-level O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monitors present in lab.</w:t>
            </w:r>
          </w:p>
        </w:tc>
        <w:tc>
          <w:tcPr>
            <w:tcW w:w="1197" w:type="dxa"/>
          </w:tcPr>
          <w:p w:rsidR="004567CC" w:rsidRPr="006774EC" w:rsidRDefault="003700C5" w:rsidP="00F243F3">
            <w:pPr>
              <w:rPr>
                <w:sz w:val="22"/>
                <w:szCs w:val="22"/>
              </w:rPr>
            </w:pPr>
            <w:proofErr w:type="spellStart"/>
            <w:r w:rsidRPr="006774EC">
              <w:rPr>
                <w:sz w:val="22"/>
                <w:szCs w:val="22"/>
              </w:rPr>
              <w:t>Poss</w:t>
            </w:r>
            <w:proofErr w:type="spellEnd"/>
          </w:p>
        </w:tc>
        <w:tc>
          <w:tcPr>
            <w:tcW w:w="984" w:type="dxa"/>
          </w:tcPr>
          <w:p w:rsidR="004567CC" w:rsidRPr="006774EC" w:rsidRDefault="004567CC" w:rsidP="00F243F3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  <w:tr w:rsidR="0061726F" w:rsidRPr="006774EC" w:rsidTr="00E105A7">
        <w:trPr>
          <w:cantSplit/>
          <w:jc w:val="center"/>
        </w:trPr>
        <w:tc>
          <w:tcPr>
            <w:tcW w:w="1936" w:type="dxa"/>
          </w:tcPr>
          <w:p w:rsidR="0061726F" w:rsidRPr="006774EC" w:rsidRDefault="009A0FBE" w:rsidP="00DF2D49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Handling of liquid N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34" w:type="dxa"/>
          </w:tcPr>
          <w:p w:rsidR="0061726F" w:rsidRPr="006774EC" w:rsidRDefault="009A0FBE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 xml:space="preserve">Cold burns when using liquid nitrogen </w:t>
            </w:r>
          </w:p>
          <w:p w:rsidR="009A0FBE" w:rsidRPr="006774EC" w:rsidRDefault="009A0FBE" w:rsidP="00F243F3">
            <w:pPr>
              <w:rPr>
                <w:sz w:val="22"/>
                <w:szCs w:val="22"/>
              </w:rPr>
            </w:pPr>
          </w:p>
          <w:p w:rsidR="009A0FBE" w:rsidRPr="006774EC" w:rsidRDefault="009A0FBE" w:rsidP="009A0FBE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Risk of asphyxiation from excess N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662" w:type="dxa"/>
          </w:tcPr>
          <w:p w:rsidR="0061726F" w:rsidRPr="006774EC" w:rsidRDefault="0061726F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61726F" w:rsidRPr="006774EC" w:rsidRDefault="009A0FBE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 xml:space="preserve">Liquid nitrogen, all </w:t>
            </w:r>
            <w:proofErr w:type="spellStart"/>
            <w:r w:rsidRPr="006774EC">
              <w:rPr>
                <w:color w:val="000000"/>
                <w:sz w:val="22"/>
                <w:szCs w:val="22"/>
                <w:lang w:val="en-US"/>
              </w:rPr>
              <w:t>cryo</w:t>
            </w:r>
            <w:proofErr w:type="spellEnd"/>
            <w:r w:rsidRPr="006774EC">
              <w:rPr>
                <w:color w:val="000000"/>
                <w:sz w:val="22"/>
                <w:szCs w:val="22"/>
                <w:lang w:val="en-US"/>
              </w:rPr>
              <w:t xml:space="preserve"> containers and connections to be handled using </w:t>
            </w:r>
            <w:r w:rsidR="00CC2A71">
              <w:rPr>
                <w:color w:val="000000"/>
                <w:sz w:val="22"/>
                <w:szCs w:val="22"/>
                <w:lang w:val="en-US"/>
              </w:rPr>
              <w:t xml:space="preserve">BS EN 511(low temperature) compliant </w:t>
            </w:r>
            <w:r w:rsidRPr="006774EC">
              <w:rPr>
                <w:color w:val="000000"/>
                <w:sz w:val="22"/>
                <w:szCs w:val="22"/>
                <w:lang w:val="en-US"/>
              </w:rPr>
              <w:t>gloves.</w:t>
            </w:r>
          </w:p>
          <w:p w:rsidR="009A0FBE" w:rsidRPr="006774EC" w:rsidRDefault="009A0FBE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0FBE" w:rsidRDefault="009A0FBE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Liquid N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always used in approved cryogenic containers and </w:t>
            </w:r>
            <w:proofErr w:type="spellStart"/>
            <w:r w:rsidRPr="006774EC">
              <w:rPr>
                <w:sz w:val="22"/>
                <w:szCs w:val="22"/>
              </w:rPr>
              <w:t>dewars</w:t>
            </w:r>
            <w:proofErr w:type="spellEnd"/>
          </w:p>
          <w:p w:rsidR="00CC2A71" w:rsidRPr="006774EC" w:rsidRDefault="00CC2A71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A0FBE" w:rsidRPr="006774EC" w:rsidRDefault="009A0FBE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Low-level O</w:t>
            </w:r>
            <w:r w:rsidRPr="006774EC">
              <w:rPr>
                <w:sz w:val="22"/>
                <w:szCs w:val="22"/>
                <w:vertAlign w:val="subscript"/>
              </w:rPr>
              <w:t>2</w:t>
            </w:r>
            <w:r w:rsidRPr="006774EC">
              <w:rPr>
                <w:sz w:val="22"/>
                <w:szCs w:val="22"/>
              </w:rPr>
              <w:t xml:space="preserve"> monitors present in lab</w:t>
            </w:r>
          </w:p>
        </w:tc>
        <w:tc>
          <w:tcPr>
            <w:tcW w:w="1197" w:type="dxa"/>
          </w:tcPr>
          <w:p w:rsidR="0061726F" w:rsidRPr="006774EC" w:rsidRDefault="00115A19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61726F" w:rsidRPr="006774EC" w:rsidRDefault="00115A19" w:rsidP="00F243F3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  <w:tr w:rsidR="003700C5" w:rsidRPr="006774EC" w:rsidTr="00E105A7">
        <w:trPr>
          <w:cantSplit/>
          <w:jc w:val="center"/>
        </w:trPr>
        <w:tc>
          <w:tcPr>
            <w:tcW w:w="1936" w:type="dxa"/>
          </w:tcPr>
          <w:p w:rsidR="003700C5" w:rsidRPr="006774EC" w:rsidRDefault="003700C5" w:rsidP="00DF2D49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 of methanol</w:t>
            </w:r>
          </w:p>
        </w:tc>
        <w:tc>
          <w:tcPr>
            <w:tcW w:w="1734" w:type="dxa"/>
          </w:tcPr>
          <w:p w:rsidR="003700C5" w:rsidRPr="006774EC" w:rsidRDefault="003700C5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Possible exposure to toxic solvent</w:t>
            </w:r>
          </w:p>
        </w:tc>
        <w:tc>
          <w:tcPr>
            <w:tcW w:w="1662" w:type="dxa"/>
          </w:tcPr>
          <w:p w:rsidR="003700C5" w:rsidRPr="006774EC" w:rsidRDefault="003700C5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3700C5" w:rsidRPr="006774EC" w:rsidRDefault="003700C5" w:rsidP="00370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Methanol to be used in full accordance with COSSH regulations (see attached form)</w:t>
            </w:r>
          </w:p>
          <w:p w:rsidR="003700C5" w:rsidRPr="006774EC" w:rsidRDefault="003700C5" w:rsidP="00370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700C5" w:rsidRPr="006774EC" w:rsidRDefault="003700C5" w:rsidP="00370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774EC">
              <w:rPr>
                <w:color w:val="000000"/>
                <w:sz w:val="22"/>
                <w:szCs w:val="22"/>
                <w:lang w:val="en-US"/>
              </w:rPr>
              <w:t>Methanol only to be used within sealed contained at the back of the stopped-flow instrument</w:t>
            </w:r>
          </w:p>
        </w:tc>
        <w:tc>
          <w:tcPr>
            <w:tcW w:w="1197" w:type="dxa"/>
          </w:tcPr>
          <w:p w:rsidR="003700C5" w:rsidRPr="006774EC" w:rsidRDefault="003700C5" w:rsidP="00F243F3">
            <w:pPr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700C5" w:rsidRPr="006774EC" w:rsidRDefault="003700C5" w:rsidP="00F243F3">
            <w:pPr>
              <w:jc w:val="center"/>
              <w:rPr>
                <w:sz w:val="22"/>
                <w:szCs w:val="22"/>
              </w:rPr>
            </w:pPr>
            <w:r w:rsidRPr="006774EC">
              <w:rPr>
                <w:sz w:val="22"/>
                <w:szCs w:val="22"/>
              </w:rPr>
              <w:t>A</w:t>
            </w:r>
          </w:p>
        </w:tc>
      </w:tr>
    </w:tbl>
    <w:p w:rsidR="00E4383A" w:rsidRPr="006774EC" w:rsidRDefault="00E4383A" w:rsidP="00E4383A">
      <w:pPr>
        <w:rPr>
          <w:sz w:val="22"/>
          <w:szCs w:val="22"/>
        </w:rPr>
      </w:pPr>
    </w:p>
    <w:p w:rsidR="00E4383A" w:rsidRPr="006774EC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6774EC" w:rsidTr="00C11F2F">
        <w:trPr>
          <w:trHeight w:val="577"/>
        </w:trPr>
        <w:tc>
          <w:tcPr>
            <w:tcW w:w="14218" w:type="dxa"/>
          </w:tcPr>
          <w:p w:rsidR="00E4383A" w:rsidRPr="006774EC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6774EC">
              <w:rPr>
                <w:b/>
                <w:sz w:val="22"/>
                <w:szCs w:val="22"/>
                <w:u w:val="single"/>
              </w:rPr>
              <w:t>Facility Manager</w:t>
            </w:r>
            <w:r w:rsidRPr="006774E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Date:</w:t>
            </w: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6774EC" w:rsidRDefault="00E4383A" w:rsidP="00E4383A">
      <w:pPr>
        <w:rPr>
          <w:sz w:val="22"/>
          <w:szCs w:val="22"/>
        </w:rPr>
      </w:pPr>
    </w:p>
    <w:p w:rsidR="00F7676E" w:rsidRPr="00D93B19" w:rsidRDefault="00F7676E" w:rsidP="00F7676E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researcher</w:t>
      </w:r>
    </w:p>
    <w:p w:rsidR="00F7676E" w:rsidRPr="00D93B19" w:rsidRDefault="00F7676E" w:rsidP="00F7676E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I have read this Risk Assessment and that I understand the hazards and risks involved and will follow all of the safety procedures stated</w:t>
      </w:r>
      <w:r w:rsidRPr="00AA36B0">
        <w:rPr>
          <w:b/>
          <w:sz w:val="22"/>
          <w:szCs w:val="22"/>
        </w:rPr>
        <w:t>. Where PPE has been identified as a control measure, I will ensure that it is worn.</w:t>
      </w:r>
    </w:p>
    <w:p w:rsidR="00E4383A" w:rsidRPr="006774EC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6774EC" w:rsidRDefault="00E4383A" w:rsidP="00E4383A">
      <w:pPr>
        <w:jc w:val="both"/>
        <w:rPr>
          <w:sz w:val="22"/>
          <w:szCs w:val="22"/>
        </w:rPr>
      </w:pPr>
      <w:r w:rsidRPr="006774EC">
        <w:rPr>
          <w:b/>
          <w:sz w:val="22"/>
          <w:szCs w:val="22"/>
          <w:u w:val="single"/>
        </w:rPr>
        <w:t xml:space="preserve">Declaration by </w:t>
      </w:r>
      <w:r w:rsidR="003029AE" w:rsidRPr="006774EC">
        <w:rPr>
          <w:b/>
          <w:sz w:val="22"/>
          <w:szCs w:val="22"/>
          <w:u w:val="single"/>
        </w:rPr>
        <w:t xml:space="preserve">Facility Manager </w:t>
      </w:r>
    </w:p>
    <w:p w:rsidR="00E4383A" w:rsidRPr="006774EC" w:rsidRDefault="00E4383A" w:rsidP="00E4383A">
      <w:pPr>
        <w:jc w:val="both"/>
        <w:rPr>
          <w:b/>
          <w:sz w:val="22"/>
          <w:szCs w:val="22"/>
        </w:rPr>
      </w:pPr>
      <w:bookmarkStart w:id="0" w:name="_GoBack"/>
      <w:bookmarkEnd w:id="0"/>
      <w:r w:rsidRPr="006774EC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6774EC" w:rsidRDefault="00E4383A" w:rsidP="00E4383A">
      <w:pPr>
        <w:jc w:val="both"/>
        <w:rPr>
          <w:sz w:val="22"/>
          <w:szCs w:val="22"/>
        </w:rPr>
      </w:pPr>
    </w:p>
    <w:p w:rsidR="00E4383A" w:rsidRPr="006774EC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6774EC" w:rsidTr="003029AE">
        <w:tc>
          <w:tcPr>
            <w:tcW w:w="3510" w:type="dxa"/>
          </w:tcPr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Name (please print)</w:t>
            </w:r>
          </w:p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6774EC" w:rsidRDefault="003029AE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Facility Manager</w:t>
            </w:r>
            <w:r w:rsidR="00E4383A" w:rsidRPr="006774EC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6774EC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6774EC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6774EC" w:rsidTr="003700C5">
        <w:trPr>
          <w:trHeight w:val="454"/>
        </w:trPr>
        <w:tc>
          <w:tcPr>
            <w:tcW w:w="3510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6774EC" w:rsidTr="003700C5">
        <w:trPr>
          <w:trHeight w:val="454"/>
        </w:trPr>
        <w:tc>
          <w:tcPr>
            <w:tcW w:w="3510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6774EC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3700C5" w:rsidRPr="006774EC" w:rsidTr="003700C5">
        <w:trPr>
          <w:trHeight w:val="454"/>
        </w:trPr>
        <w:tc>
          <w:tcPr>
            <w:tcW w:w="3510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3700C5" w:rsidRPr="006774EC" w:rsidRDefault="003700C5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6774EC" w:rsidRDefault="0020100F" w:rsidP="00A84943">
      <w:pPr>
        <w:rPr>
          <w:sz w:val="22"/>
          <w:szCs w:val="22"/>
        </w:rPr>
      </w:pPr>
    </w:p>
    <w:sectPr w:rsidR="0020100F" w:rsidRPr="006774EC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FB" w:rsidRDefault="00284DFB">
      <w:r>
        <w:separator/>
      </w:r>
    </w:p>
  </w:endnote>
  <w:endnote w:type="continuationSeparator" w:id="0">
    <w:p w:rsidR="00284DFB" w:rsidRDefault="0028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FB" w:rsidRDefault="00284DFB">
      <w:r>
        <w:separator/>
      </w:r>
    </w:p>
  </w:footnote>
  <w:footnote w:type="continuationSeparator" w:id="0">
    <w:p w:rsidR="00284DFB" w:rsidRDefault="0028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96D18"/>
    <w:rsid w:val="000A486F"/>
    <w:rsid w:val="000A501D"/>
    <w:rsid w:val="000F4FA6"/>
    <w:rsid w:val="000F6254"/>
    <w:rsid w:val="00115A19"/>
    <w:rsid w:val="00137490"/>
    <w:rsid w:val="001D5D34"/>
    <w:rsid w:val="001D75FC"/>
    <w:rsid w:val="0020100F"/>
    <w:rsid w:val="00220FCE"/>
    <w:rsid w:val="00284DFB"/>
    <w:rsid w:val="002A4769"/>
    <w:rsid w:val="002D7ABB"/>
    <w:rsid w:val="002E195F"/>
    <w:rsid w:val="002F5E5E"/>
    <w:rsid w:val="003029AE"/>
    <w:rsid w:val="00354E95"/>
    <w:rsid w:val="00364B84"/>
    <w:rsid w:val="003700C5"/>
    <w:rsid w:val="003B5BF2"/>
    <w:rsid w:val="003F4B4C"/>
    <w:rsid w:val="00401D55"/>
    <w:rsid w:val="00404C4B"/>
    <w:rsid w:val="004151EE"/>
    <w:rsid w:val="00454035"/>
    <w:rsid w:val="004567CC"/>
    <w:rsid w:val="004D0097"/>
    <w:rsid w:val="00504EAC"/>
    <w:rsid w:val="00505E7C"/>
    <w:rsid w:val="00513951"/>
    <w:rsid w:val="005C135F"/>
    <w:rsid w:val="005E68E8"/>
    <w:rsid w:val="00615742"/>
    <w:rsid w:val="0061726F"/>
    <w:rsid w:val="00652F3E"/>
    <w:rsid w:val="006774EC"/>
    <w:rsid w:val="00710234"/>
    <w:rsid w:val="00791668"/>
    <w:rsid w:val="00816D4E"/>
    <w:rsid w:val="00856A77"/>
    <w:rsid w:val="008C24A8"/>
    <w:rsid w:val="008C28E1"/>
    <w:rsid w:val="008F47E5"/>
    <w:rsid w:val="00917D5E"/>
    <w:rsid w:val="00945D8B"/>
    <w:rsid w:val="00964569"/>
    <w:rsid w:val="0096735D"/>
    <w:rsid w:val="00994EFF"/>
    <w:rsid w:val="009A0FBE"/>
    <w:rsid w:val="009E0F87"/>
    <w:rsid w:val="00A84943"/>
    <w:rsid w:val="00AA2645"/>
    <w:rsid w:val="00AE1A75"/>
    <w:rsid w:val="00B35E07"/>
    <w:rsid w:val="00B613A2"/>
    <w:rsid w:val="00BD53AC"/>
    <w:rsid w:val="00C11F2F"/>
    <w:rsid w:val="00C66350"/>
    <w:rsid w:val="00C81AFD"/>
    <w:rsid w:val="00CA2B83"/>
    <w:rsid w:val="00CC2A71"/>
    <w:rsid w:val="00D1749E"/>
    <w:rsid w:val="00D302B5"/>
    <w:rsid w:val="00D30F1A"/>
    <w:rsid w:val="00D75F63"/>
    <w:rsid w:val="00DB7477"/>
    <w:rsid w:val="00DF2D49"/>
    <w:rsid w:val="00E01D5E"/>
    <w:rsid w:val="00E105A7"/>
    <w:rsid w:val="00E3654D"/>
    <w:rsid w:val="00E4383A"/>
    <w:rsid w:val="00F243F3"/>
    <w:rsid w:val="00F27BAD"/>
    <w:rsid w:val="00F7676E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2015-01-30T13:36:00Z</dcterms:created>
  <dcterms:modified xsi:type="dcterms:W3CDTF">2015-01-30T13:36:00Z</dcterms:modified>
</cp:coreProperties>
</file>