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D45D8D" w:rsidRDefault="008139BB" w:rsidP="000A2568">
      <w:pPr>
        <w:pStyle w:val="BodyTextIndent"/>
        <w:jc w:val="both"/>
        <w:rPr>
          <w:sz w:val="22"/>
          <w:szCs w:val="22"/>
          <w:u w:val="single"/>
        </w:rPr>
      </w:pPr>
      <w:r w:rsidRPr="00D45D8D">
        <w:rPr>
          <w:b/>
          <w:sz w:val="22"/>
          <w:szCs w:val="22"/>
          <w:u w:val="single"/>
        </w:rPr>
        <w:t xml:space="preserve">Manchester </w:t>
      </w:r>
      <w:r w:rsidR="00665FBE" w:rsidRPr="00D45D8D">
        <w:rPr>
          <w:b/>
          <w:sz w:val="22"/>
          <w:szCs w:val="22"/>
          <w:u w:val="single"/>
        </w:rPr>
        <w:t xml:space="preserve">Institute of </w:t>
      </w:r>
      <w:proofErr w:type="gramStart"/>
      <w:r w:rsidR="00665FBE" w:rsidRPr="00D45D8D">
        <w:rPr>
          <w:b/>
          <w:sz w:val="22"/>
          <w:szCs w:val="22"/>
          <w:u w:val="single"/>
        </w:rPr>
        <w:t>Biotechnology</w:t>
      </w:r>
      <w:r w:rsidRPr="00D45D8D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D45D8D">
        <w:rPr>
          <w:b/>
          <w:bCs/>
          <w:sz w:val="22"/>
          <w:szCs w:val="22"/>
          <w:u w:val="single"/>
        </w:rPr>
        <w:t xml:space="preserve"> </w:t>
      </w:r>
      <w:r w:rsidR="0005133D" w:rsidRPr="00D45D8D">
        <w:rPr>
          <w:b/>
          <w:bCs/>
          <w:sz w:val="22"/>
          <w:szCs w:val="22"/>
          <w:u w:val="single"/>
        </w:rPr>
        <w:t xml:space="preserve">Risk Assessment </w:t>
      </w:r>
    </w:p>
    <w:p w:rsidR="0005133D" w:rsidRPr="00D45D8D" w:rsidRDefault="0020100F" w:rsidP="000A2568">
      <w:pPr>
        <w:pStyle w:val="BodyTextIndent"/>
        <w:jc w:val="both"/>
        <w:rPr>
          <w:sz w:val="22"/>
          <w:szCs w:val="22"/>
        </w:rPr>
      </w:pPr>
      <w:r w:rsidRPr="00D45D8D"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7" o:title="TUOM_4COL"/>
            <w10:wrap anchorx="page" anchory="page"/>
          </v:shape>
        </w:pict>
      </w:r>
    </w:p>
    <w:p w:rsidR="0020100F" w:rsidRPr="00D45D8D" w:rsidRDefault="0020100F" w:rsidP="000A2568">
      <w:pPr>
        <w:pStyle w:val="BodyTextIndent"/>
        <w:jc w:val="both"/>
        <w:rPr>
          <w:sz w:val="22"/>
          <w:szCs w:val="22"/>
        </w:rPr>
      </w:pPr>
    </w:p>
    <w:tbl>
      <w:tblPr>
        <w:tblW w:w="1410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897"/>
        <w:gridCol w:w="3969"/>
        <w:gridCol w:w="3260"/>
        <w:gridCol w:w="2944"/>
        <w:gridCol w:w="2039"/>
      </w:tblGrid>
      <w:tr w:rsidR="00FD7865" w:rsidRPr="00D45D8D" w:rsidTr="00D45D8D">
        <w:tblPrEx>
          <w:tblCellMar>
            <w:top w:w="0" w:type="dxa"/>
            <w:bottom w:w="0" w:type="dxa"/>
          </w:tblCellMar>
        </w:tblPrEx>
        <w:trPr>
          <w:cantSplit/>
          <w:trHeight w:val="647"/>
          <w:tblHeader/>
          <w:jc w:val="center"/>
        </w:trPr>
        <w:tc>
          <w:tcPr>
            <w:tcW w:w="1897" w:type="dxa"/>
            <w:shd w:val="clear" w:color="auto" w:fill="CCFFCC"/>
          </w:tcPr>
          <w:p w:rsidR="00FD7865" w:rsidRPr="00D45D8D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Date:</w:t>
            </w:r>
          </w:p>
          <w:p w:rsidR="00FD7865" w:rsidRPr="00D45D8D" w:rsidRDefault="0096166B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Feb 2015</w:t>
            </w:r>
          </w:p>
        </w:tc>
        <w:tc>
          <w:tcPr>
            <w:tcW w:w="3969" w:type="dxa"/>
            <w:shd w:val="clear" w:color="auto" w:fill="CCFFCC"/>
          </w:tcPr>
          <w:p w:rsidR="00FD7865" w:rsidRPr="00D45D8D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Assessed by</w:t>
            </w:r>
            <w:r w:rsidRPr="00D45D8D">
              <w:rPr>
                <w:sz w:val="22"/>
                <w:szCs w:val="22"/>
              </w:rPr>
              <w:t xml:space="preserve">: </w:t>
            </w:r>
          </w:p>
          <w:p w:rsidR="00FD7865" w:rsidRPr="00D45D8D" w:rsidRDefault="0096166B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Colin Levy</w:t>
            </w:r>
          </w:p>
        </w:tc>
        <w:tc>
          <w:tcPr>
            <w:tcW w:w="3260" w:type="dxa"/>
            <w:shd w:val="clear" w:color="auto" w:fill="CCFFCC"/>
          </w:tcPr>
          <w:p w:rsidR="00FD7865" w:rsidRPr="00D45D8D" w:rsidRDefault="00FD7865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Validated by</w:t>
            </w:r>
            <w:r w:rsidRPr="00D45D8D">
              <w:rPr>
                <w:sz w:val="22"/>
                <w:szCs w:val="22"/>
              </w:rPr>
              <w:t xml:space="preserve">: </w:t>
            </w:r>
          </w:p>
          <w:p w:rsidR="00FD7865" w:rsidRPr="00D45D8D" w:rsidRDefault="00D45D8D" w:rsidP="000A25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Aspinall</w:t>
            </w:r>
          </w:p>
        </w:tc>
        <w:tc>
          <w:tcPr>
            <w:tcW w:w="2944" w:type="dxa"/>
            <w:shd w:val="clear" w:color="auto" w:fill="CCFFCC"/>
          </w:tcPr>
          <w:p w:rsidR="00D45D8D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Location</w:t>
            </w:r>
            <w:r w:rsidRPr="00D45D8D">
              <w:rPr>
                <w:sz w:val="22"/>
                <w:szCs w:val="22"/>
              </w:rPr>
              <w:t xml:space="preserve">: </w:t>
            </w:r>
          </w:p>
          <w:p w:rsidR="00FD7865" w:rsidRPr="00D45D8D" w:rsidRDefault="00FD7865" w:rsidP="00D45D8D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MIB</w:t>
            </w:r>
            <w:r w:rsidR="00D45D8D">
              <w:rPr>
                <w:sz w:val="22"/>
                <w:szCs w:val="22"/>
              </w:rPr>
              <w:t xml:space="preserve"> </w:t>
            </w:r>
            <w:r w:rsidR="0096166B" w:rsidRPr="00D45D8D">
              <w:rPr>
                <w:sz w:val="22"/>
                <w:szCs w:val="22"/>
              </w:rPr>
              <w:t>LG027</w:t>
            </w:r>
          </w:p>
        </w:tc>
        <w:tc>
          <w:tcPr>
            <w:tcW w:w="2039" w:type="dxa"/>
            <w:shd w:val="clear" w:color="auto" w:fill="CCFFCC"/>
          </w:tcPr>
          <w:p w:rsidR="00FD7865" w:rsidRPr="00D45D8D" w:rsidRDefault="00FD7865" w:rsidP="000A2568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 xml:space="preserve">Review date: </w:t>
            </w:r>
          </w:p>
          <w:p w:rsidR="00FD7865" w:rsidRPr="00D45D8D" w:rsidRDefault="0096166B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Feb 2016</w:t>
            </w:r>
          </w:p>
        </w:tc>
      </w:tr>
    </w:tbl>
    <w:p w:rsidR="00FD7865" w:rsidRPr="00D45D8D" w:rsidRDefault="00FD7865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B613A2" w:rsidRPr="00D45D8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175" w:type="dxa"/>
          </w:tcPr>
          <w:p w:rsidR="0005133D" w:rsidRPr="00D45D8D" w:rsidRDefault="00B613A2" w:rsidP="00D45D8D">
            <w:pPr>
              <w:jc w:val="both"/>
              <w:rPr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Task</w:t>
            </w:r>
            <w:r w:rsidRPr="00D45D8D">
              <w:rPr>
                <w:sz w:val="22"/>
                <w:szCs w:val="22"/>
              </w:rPr>
              <w:t>:</w:t>
            </w:r>
            <w:r w:rsidR="00D45D8D">
              <w:rPr>
                <w:sz w:val="22"/>
                <w:szCs w:val="22"/>
              </w:rPr>
              <w:t xml:space="preserve"> </w:t>
            </w:r>
            <w:proofErr w:type="spellStart"/>
            <w:r w:rsidR="00A500D3" w:rsidRPr="00D45D8D">
              <w:rPr>
                <w:sz w:val="22"/>
                <w:szCs w:val="22"/>
              </w:rPr>
              <w:t>Cryofreezing</w:t>
            </w:r>
            <w:proofErr w:type="spellEnd"/>
            <w:r w:rsidR="00A500D3" w:rsidRPr="00D45D8D">
              <w:rPr>
                <w:sz w:val="22"/>
                <w:szCs w:val="22"/>
              </w:rPr>
              <w:t xml:space="preserve"> of crystal Samples for X-Ray data collection</w:t>
            </w:r>
          </w:p>
        </w:tc>
      </w:tr>
    </w:tbl>
    <w:p w:rsidR="0020100F" w:rsidRPr="00D45D8D" w:rsidRDefault="0020100F" w:rsidP="000A2568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559"/>
        <w:gridCol w:w="1418"/>
        <w:gridCol w:w="7087"/>
        <w:gridCol w:w="1055"/>
        <w:gridCol w:w="984"/>
      </w:tblGrid>
      <w:tr w:rsidR="0020100F" w:rsidRPr="00D45D8D" w:rsidTr="00D45D8D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72" w:type="dxa"/>
            <w:shd w:val="clear" w:color="auto" w:fill="CCFFCC"/>
          </w:tcPr>
          <w:p w:rsidR="0020100F" w:rsidRPr="00D45D8D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Activity</w:t>
            </w:r>
            <w:r w:rsidR="002D7ABB" w:rsidRPr="00D45D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CCFFCC"/>
          </w:tcPr>
          <w:p w:rsidR="0020100F" w:rsidRPr="00D45D8D" w:rsidRDefault="0020100F" w:rsidP="00D45D8D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Hazard</w:t>
            </w:r>
            <w:r w:rsidR="002D7ABB" w:rsidRPr="00D45D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CCFFCC"/>
          </w:tcPr>
          <w:p w:rsidR="0020100F" w:rsidRPr="00D45D8D" w:rsidRDefault="0020100F" w:rsidP="00D45D8D">
            <w:pPr>
              <w:jc w:val="both"/>
              <w:rPr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Person(s) in danger</w:t>
            </w:r>
            <w:r w:rsidR="002D7ABB" w:rsidRPr="00D45D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CCFFCC"/>
          </w:tcPr>
          <w:p w:rsidR="0020100F" w:rsidRPr="00D45D8D" w:rsidRDefault="0020100F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Existing measures to control risk</w:t>
            </w:r>
            <w:r w:rsidR="002D7ABB" w:rsidRPr="00D45D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CCFFCC"/>
          </w:tcPr>
          <w:p w:rsidR="0020100F" w:rsidRPr="00D45D8D" w:rsidRDefault="00BD53AC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Risk rating</w:t>
            </w:r>
            <w:r w:rsidR="002D7ABB" w:rsidRPr="00D45D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CC"/>
          </w:tcPr>
          <w:p w:rsidR="0020100F" w:rsidRPr="00D45D8D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Result</w:t>
            </w:r>
            <w:r w:rsidR="002D7ABB" w:rsidRPr="00D45D8D">
              <w:rPr>
                <w:b/>
                <w:sz w:val="22"/>
                <w:szCs w:val="22"/>
              </w:rPr>
              <w:t xml:space="preserve"> </w:t>
            </w:r>
          </w:p>
          <w:p w:rsidR="00690FCB" w:rsidRPr="00D45D8D" w:rsidRDefault="00690FCB" w:rsidP="000A256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100F" w:rsidRPr="00D45D8D" w:rsidTr="00D45D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2" w:type="dxa"/>
          </w:tcPr>
          <w:p w:rsidR="0020100F" w:rsidRPr="00D45D8D" w:rsidRDefault="00A500D3" w:rsidP="00A500D3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Handling of liquid nitrogen</w:t>
            </w:r>
          </w:p>
          <w:p w:rsidR="002D7ABB" w:rsidRPr="00D45D8D" w:rsidRDefault="002D7ABB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0100F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Release of liquid nitrogen – risk of asphyxiation</w:t>
            </w:r>
          </w:p>
        </w:tc>
        <w:tc>
          <w:tcPr>
            <w:tcW w:w="1418" w:type="dxa"/>
          </w:tcPr>
          <w:p w:rsidR="0020100F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Staff and those in close proximity</w:t>
            </w:r>
          </w:p>
        </w:tc>
        <w:tc>
          <w:tcPr>
            <w:tcW w:w="7087" w:type="dxa"/>
          </w:tcPr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All staff </w:t>
            </w:r>
            <w:r w:rsidR="00D45D8D">
              <w:rPr>
                <w:sz w:val="22"/>
                <w:szCs w:val="22"/>
              </w:rPr>
              <w:t>must</w:t>
            </w:r>
            <w:r w:rsidRPr="00D45D8D">
              <w:rPr>
                <w:sz w:val="22"/>
                <w:szCs w:val="22"/>
              </w:rPr>
              <w:t xml:space="preserve"> be trained in the correct handling and transport of liquid nitrogen. They </w:t>
            </w:r>
            <w:r w:rsidR="00D45D8D">
              <w:rPr>
                <w:sz w:val="22"/>
                <w:szCs w:val="22"/>
              </w:rPr>
              <w:t>must</w:t>
            </w:r>
            <w:r w:rsidRPr="00D45D8D">
              <w:rPr>
                <w:sz w:val="22"/>
                <w:szCs w:val="22"/>
              </w:rPr>
              <w:t xml:space="preserve"> have completed COSHH and risk assessments so that they are aware of the hazards associated with th</w:t>
            </w:r>
            <w:r w:rsidR="00D45D8D">
              <w:rPr>
                <w:sz w:val="22"/>
                <w:szCs w:val="22"/>
              </w:rPr>
              <w:t>e handling of liquid nitrogen, and all identified control measures must be followed.</w:t>
            </w:r>
          </w:p>
          <w:p w:rsidR="00D45D8D" w:rsidRDefault="00D45D8D" w:rsidP="00A500D3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A500D3" w:rsidRPr="00D45D8D" w:rsidRDefault="00A500D3" w:rsidP="00A500D3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Oxygen monitors and alarms are present on the room, and are tested regularly to ensure they are functional. </w:t>
            </w:r>
          </w:p>
          <w:p w:rsidR="00D45D8D" w:rsidRDefault="00D45D8D" w:rsidP="00A500D3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A500D3" w:rsidRPr="00D45D8D" w:rsidRDefault="00A500D3" w:rsidP="00A500D3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Warning signs and emergency advice are prominently displayed.</w:t>
            </w:r>
          </w:p>
          <w:p w:rsidR="00D45D8D" w:rsidRDefault="00D45D8D" w:rsidP="00A500D3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A500D3" w:rsidRPr="00D45D8D" w:rsidRDefault="00A500D3" w:rsidP="00A500D3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Two personnel to be present when large volumes of liquid nitrogen are dispensed.</w:t>
            </w:r>
          </w:p>
          <w:p w:rsidR="00D45D8D" w:rsidRDefault="00D45D8D" w:rsidP="00D45D8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:rsidR="0020100F" w:rsidRPr="00D45D8D" w:rsidRDefault="00A500D3" w:rsidP="00D45D8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No personnel to enter room when oxygen alarm sounds. Staff to evacuate room when alarm sounds continuously</w:t>
            </w:r>
          </w:p>
        </w:tc>
        <w:tc>
          <w:tcPr>
            <w:tcW w:w="1055" w:type="dxa"/>
          </w:tcPr>
          <w:p w:rsidR="0020100F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L</w:t>
            </w:r>
          </w:p>
        </w:tc>
        <w:tc>
          <w:tcPr>
            <w:tcW w:w="984" w:type="dxa"/>
          </w:tcPr>
          <w:p w:rsidR="0020100F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T</w:t>
            </w:r>
          </w:p>
        </w:tc>
      </w:tr>
      <w:tr w:rsidR="00A500D3" w:rsidRPr="00D45D8D" w:rsidTr="00D45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2" w:type="dxa"/>
          </w:tcPr>
          <w:p w:rsidR="00A500D3" w:rsidRPr="00D45D8D" w:rsidRDefault="00A500D3" w:rsidP="00A500D3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Decanting Liquid Nitrogen to small </w:t>
            </w:r>
            <w:proofErr w:type="spellStart"/>
            <w:r w:rsidRPr="00D45D8D">
              <w:rPr>
                <w:sz w:val="22"/>
                <w:szCs w:val="22"/>
              </w:rPr>
              <w:t>dewars</w:t>
            </w:r>
            <w:proofErr w:type="spellEnd"/>
          </w:p>
        </w:tc>
        <w:tc>
          <w:tcPr>
            <w:tcW w:w="1559" w:type="dxa"/>
          </w:tcPr>
          <w:p w:rsidR="00A500D3" w:rsidRPr="00D45D8D" w:rsidRDefault="00A500D3" w:rsidP="00A500D3">
            <w:pPr>
              <w:snapToGrid w:val="0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Release of liquid nitrogen – risk of frostbite / cold burns</w:t>
            </w:r>
          </w:p>
          <w:p w:rsidR="00A500D3" w:rsidRPr="00D45D8D" w:rsidRDefault="00A500D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0D3" w:rsidRPr="00D45D8D" w:rsidRDefault="00A500D3" w:rsidP="00A500D3">
            <w:pPr>
              <w:tabs>
                <w:tab w:val="left" w:pos="474"/>
              </w:tabs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Staff and other building users</w:t>
            </w:r>
          </w:p>
        </w:tc>
        <w:tc>
          <w:tcPr>
            <w:tcW w:w="7087" w:type="dxa"/>
          </w:tcPr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All staff who handle/use liquid nitrogen </w:t>
            </w:r>
            <w:r w:rsidR="00D45D8D">
              <w:rPr>
                <w:sz w:val="22"/>
                <w:szCs w:val="22"/>
              </w:rPr>
              <w:t>must</w:t>
            </w:r>
            <w:r w:rsidRPr="00D45D8D">
              <w:rPr>
                <w:sz w:val="22"/>
                <w:szCs w:val="22"/>
              </w:rPr>
              <w:t xml:space="preserve"> have attended a chemical safety course which details the risks associated with liquid nitrogen, and what to do in case of a burn injury.</w:t>
            </w:r>
          </w:p>
          <w:p w:rsidR="00B40D64" w:rsidRPr="00D45D8D" w:rsidRDefault="00B40D64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</w:p>
          <w:p w:rsidR="00D45D8D" w:rsidRDefault="00D45D8D" w:rsidP="00A500D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The following items of PPE must be worn: Howie-style laboratory coat, BS EN</w:t>
            </w:r>
            <w:r>
              <w:rPr>
                <w:sz w:val="22"/>
                <w:szCs w:val="22"/>
              </w:rPr>
              <w:t xml:space="preserve"> 511</w:t>
            </w:r>
            <w:r w:rsidRPr="00D45D8D">
              <w:rPr>
                <w:sz w:val="22"/>
                <w:szCs w:val="22"/>
              </w:rPr>
              <w:t xml:space="preserve"> compliant gloves (</w:t>
            </w:r>
            <w:r>
              <w:rPr>
                <w:sz w:val="22"/>
                <w:szCs w:val="22"/>
              </w:rPr>
              <w:t>low temperature protective gauntlets</w:t>
            </w:r>
            <w:r w:rsidRPr="00D45D8D">
              <w:rPr>
                <w:sz w:val="22"/>
                <w:szCs w:val="22"/>
              </w:rPr>
              <w:t>) and BS EN166 compliant eye protection (chemical splash proof safety glasses</w:t>
            </w:r>
            <w:r>
              <w:rPr>
                <w:sz w:val="22"/>
                <w:szCs w:val="22"/>
              </w:rPr>
              <w:t xml:space="preserve"> and full face visor</w:t>
            </w:r>
            <w:r w:rsidRPr="00D45D8D">
              <w:rPr>
                <w:sz w:val="22"/>
                <w:szCs w:val="22"/>
              </w:rPr>
              <w:t xml:space="preserve">). A selection of safety glasses and goggles are available from MIB Stores; users are advised to visit Stores and </w:t>
            </w:r>
            <w:r w:rsidRPr="00D45D8D">
              <w:rPr>
                <w:sz w:val="22"/>
                <w:szCs w:val="22"/>
              </w:rPr>
              <w:lastRenderedPageBreak/>
              <w:t>select eye protection which fits well and is comfortable to use. Regular lab inspections monitor the wearing of PPE; users found not to be wearing PPE when the risk assessment states that it must be worn will be subject to the MIB compliance policy</w:t>
            </w:r>
            <w:r>
              <w:rPr>
                <w:sz w:val="22"/>
                <w:szCs w:val="22"/>
              </w:rPr>
              <w:t xml:space="preserve">. </w:t>
            </w:r>
          </w:p>
          <w:p w:rsidR="00D45D8D" w:rsidRDefault="00D45D8D" w:rsidP="00A500D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:rsidR="00A500D3" w:rsidRPr="00D45D8D" w:rsidRDefault="00A500D3" w:rsidP="00A500D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Avoid exposing skin to liquefied gas.</w:t>
            </w:r>
          </w:p>
          <w:p w:rsidR="00B40D64" w:rsidRPr="00D45D8D" w:rsidRDefault="00B40D64" w:rsidP="00A500D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Use suitable lidded storage containers with proper insulation. Do not dispense into or transport in a non-insulated container.</w:t>
            </w:r>
          </w:p>
          <w:p w:rsidR="00B40D64" w:rsidRPr="00D45D8D" w:rsidRDefault="00B40D64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</w:p>
          <w:p w:rsidR="00B40D64" w:rsidRPr="00D45D8D" w:rsidRDefault="00B40D64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Benchtop foam </w:t>
            </w:r>
            <w:proofErr w:type="spellStart"/>
            <w:r w:rsidRPr="00D45D8D">
              <w:rPr>
                <w:sz w:val="22"/>
                <w:szCs w:val="22"/>
              </w:rPr>
              <w:t>dewars</w:t>
            </w:r>
            <w:proofErr w:type="spellEnd"/>
            <w:r w:rsidRPr="00D45D8D">
              <w:rPr>
                <w:sz w:val="22"/>
                <w:szCs w:val="22"/>
              </w:rPr>
              <w:t xml:space="preserve"> are used for crystal freezing. These restrict the volume of LN2 in use to a 1L maximum, minimising any asphyxiation risk associated with spillage during this procedure.</w:t>
            </w:r>
          </w:p>
        </w:tc>
        <w:tc>
          <w:tcPr>
            <w:tcW w:w="1055" w:type="dxa"/>
          </w:tcPr>
          <w:p w:rsidR="00A500D3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lastRenderedPageBreak/>
              <w:t>M</w:t>
            </w:r>
          </w:p>
        </w:tc>
        <w:tc>
          <w:tcPr>
            <w:tcW w:w="984" w:type="dxa"/>
          </w:tcPr>
          <w:p w:rsidR="00A500D3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A</w:t>
            </w:r>
          </w:p>
        </w:tc>
      </w:tr>
      <w:tr w:rsidR="00A500D3" w:rsidRPr="00D45D8D" w:rsidTr="00D45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2" w:type="dxa"/>
          </w:tcPr>
          <w:p w:rsidR="00A500D3" w:rsidRPr="00D45D8D" w:rsidRDefault="00A500D3" w:rsidP="00A500D3">
            <w:pPr>
              <w:jc w:val="both"/>
              <w:rPr>
                <w:sz w:val="22"/>
                <w:szCs w:val="22"/>
              </w:rPr>
            </w:pPr>
            <w:proofErr w:type="spellStart"/>
            <w:r w:rsidRPr="00D45D8D">
              <w:rPr>
                <w:sz w:val="22"/>
                <w:szCs w:val="22"/>
              </w:rPr>
              <w:lastRenderedPageBreak/>
              <w:t>Cryo</w:t>
            </w:r>
            <w:proofErr w:type="spellEnd"/>
            <w:r w:rsidRPr="00D45D8D">
              <w:rPr>
                <w:sz w:val="22"/>
                <w:szCs w:val="22"/>
              </w:rPr>
              <w:t xml:space="preserve"> freezing protein crystals</w:t>
            </w:r>
          </w:p>
        </w:tc>
        <w:tc>
          <w:tcPr>
            <w:tcW w:w="1559" w:type="dxa"/>
          </w:tcPr>
          <w:p w:rsidR="00A500D3" w:rsidRPr="00D45D8D" w:rsidRDefault="00A500D3" w:rsidP="00A500D3">
            <w:pPr>
              <w:snapToGrid w:val="0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Frostbite / cold burns</w:t>
            </w:r>
          </w:p>
        </w:tc>
        <w:tc>
          <w:tcPr>
            <w:tcW w:w="1418" w:type="dxa"/>
          </w:tcPr>
          <w:p w:rsidR="00A500D3" w:rsidRPr="00D45D8D" w:rsidRDefault="00A500D3" w:rsidP="00A500D3">
            <w:pPr>
              <w:tabs>
                <w:tab w:val="left" w:pos="474"/>
              </w:tabs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Staff</w:t>
            </w:r>
          </w:p>
        </w:tc>
        <w:tc>
          <w:tcPr>
            <w:tcW w:w="7087" w:type="dxa"/>
          </w:tcPr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This is a specialist operation and is only undertaken by trained individuals following a period of supervision from an experienced senior cry</w:t>
            </w:r>
            <w:r w:rsidR="00D45D8D">
              <w:rPr>
                <w:sz w:val="22"/>
                <w:szCs w:val="22"/>
              </w:rPr>
              <w:t>stallographer (Prof D. Leys, Dr</w:t>
            </w:r>
            <w:r w:rsidRPr="00D45D8D">
              <w:rPr>
                <w:sz w:val="22"/>
                <w:szCs w:val="22"/>
              </w:rPr>
              <w:t xml:space="preserve"> C. Levy or Dr M. Dunstan)</w:t>
            </w:r>
          </w:p>
          <w:p w:rsidR="00CC7836" w:rsidRPr="00D45D8D" w:rsidRDefault="00CC7836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</w:p>
          <w:p w:rsidR="00CC7836" w:rsidRPr="00D45D8D" w:rsidRDefault="00CC7836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Particular care must be taken when chilling pucks, </w:t>
            </w:r>
            <w:proofErr w:type="spellStart"/>
            <w:r w:rsidRPr="00D45D8D">
              <w:rPr>
                <w:sz w:val="22"/>
                <w:szCs w:val="22"/>
              </w:rPr>
              <w:t>dewar</w:t>
            </w:r>
            <w:proofErr w:type="spellEnd"/>
            <w:r w:rsidRPr="00D45D8D">
              <w:rPr>
                <w:sz w:val="22"/>
                <w:szCs w:val="22"/>
              </w:rPr>
              <w:t xml:space="preserve"> cradles and dry shippers. All of the above activities </w:t>
            </w:r>
            <w:r w:rsidR="00D45D8D">
              <w:rPr>
                <w:sz w:val="22"/>
                <w:szCs w:val="22"/>
              </w:rPr>
              <w:t>must</w:t>
            </w:r>
            <w:r w:rsidRPr="00D45D8D">
              <w:rPr>
                <w:sz w:val="22"/>
                <w:szCs w:val="22"/>
              </w:rPr>
              <w:t xml:space="preserve"> be carried out whilst wearing appropriate PPE</w:t>
            </w:r>
            <w:r w:rsidR="00D45D8D">
              <w:rPr>
                <w:sz w:val="22"/>
                <w:szCs w:val="22"/>
              </w:rPr>
              <w:t xml:space="preserve"> (detailed above)</w:t>
            </w:r>
            <w:r w:rsidR="00AD5485" w:rsidRPr="00D45D8D">
              <w:rPr>
                <w:sz w:val="22"/>
                <w:szCs w:val="22"/>
              </w:rPr>
              <w:t>. Chilling these items results in LN2 boiling off rapidly from the vessel and this can produce a small spray of LN2. The risk of injury is minimised through appropriate training and suitable PPE.</w:t>
            </w:r>
          </w:p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</w:p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For reasons of extreme dexterity PPE is restricted to lab coats </w:t>
            </w:r>
            <w:r w:rsidR="00CC7836" w:rsidRPr="00D45D8D">
              <w:rPr>
                <w:sz w:val="22"/>
                <w:szCs w:val="22"/>
              </w:rPr>
              <w:t xml:space="preserve">whilst freezing the crystals themselves </w:t>
            </w:r>
            <w:r w:rsidRPr="00D45D8D">
              <w:rPr>
                <w:sz w:val="22"/>
                <w:szCs w:val="22"/>
              </w:rPr>
              <w:t>as gloves, glasses or face shields would all preclude the operation. Individuals ar</w:t>
            </w:r>
            <w:r w:rsidR="00AD5485" w:rsidRPr="00D45D8D">
              <w:rPr>
                <w:sz w:val="22"/>
                <w:szCs w:val="22"/>
              </w:rPr>
              <w:t>e isolated from the LN2 by use of</w:t>
            </w:r>
            <w:r w:rsidRPr="00D45D8D">
              <w:rPr>
                <w:sz w:val="22"/>
                <w:szCs w:val="22"/>
              </w:rPr>
              <w:t xml:space="preserve"> a crystal </w:t>
            </w:r>
            <w:proofErr w:type="gramStart"/>
            <w:r w:rsidRPr="00D45D8D">
              <w:rPr>
                <w:sz w:val="22"/>
                <w:szCs w:val="22"/>
              </w:rPr>
              <w:t>wand,</w:t>
            </w:r>
            <w:proofErr w:type="gramEnd"/>
            <w:r w:rsidRPr="00D45D8D">
              <w:rPr>
                <w:sz w:val="22"/>
                <w:szCs w:val="22"/>
              </w:rPr>
              <w:t xml:space="preserve"> this ensures that fingers and hands remain at a safe distance from the liquid at all times.</w:t>
            </w:r>
          </w:p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</w:p>
          <w:p w:rsidR="00A500D3" w:rsidRPr="00D45D8D" w:rsidRDefault="00A500D3" w:rsidP="00A500D3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Users must be aware of the risks from wands they have previously used as these remain cold and can still pose a burns risk following the transfer of the crystal to the puck. The risk can be minimised by </w:t>
            </w:r>
            <w:r w:rsidRPr="00D45D8D">
              <w:rPr>
                <w:sz w:val="22"/>
                <w:szCs w:val="22"/>
              </w:rPr>
              <w:lastRenderedPageBreak/>
              <w:t>utilising a fresh wand when the one in use becomes uncomfortably cold.</w:t>
            </w:r>
          </w:p>
        </w:tc>
        <w:tc>
          <w:tcPr>
            <w:tcW w:w="1055" w:type="dxa"/>
          </w:tcPr>
          <w:p w:rsidR="00A500D3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lastRenderedPageBreak/>
              <w:t>M</w:t>
            </w:r>
          </w:p>
        </w:tc>
        <w:tc>
          <w:tcPr>
            <w:tcW w:w="984" w:type="dxa"/>
          </w:tcPr>
          <w:p w:rsidR="00A500D3" w:rsidRPr="00D45D8D" w:rsidRDefault="00A500D3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A</w:t>
            </w:r>
          </w:p>
        </w:tc>
      </w:tr>
      <w:tr w:rsidR="00A500D3" w:rsidRPr="00D45D8D" w:rsidTr="00D45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2" w:type="dxa"/>
          </w:tcPr>
          <w:p w:rsidR="00A500D3" w:rsidRPr="00D45D8D" w:rsidRDefault="00A500D3" w:rsidP="00A500D3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lastRenderedPageBreak/>
              <w:t xml:space="preserve">Transfer of crystal positioning pucks </w:t>
            </w:r>
            <w:r w:rsidR="00B40D64" w:rsidRPr="00D45D8D">
              <w:rPr>
                <w:sz w:val="22"/>
                <w:szCs w:val="22"/>
              </w:rPr>
              <w:t xml:space="preserve">between </w:t>
            </w:r>
            <w:r w:rsidRPr="00D45D8D">
              <w:rPr>
                <w:sz w:val="22"/>
                <w:szCs w:val="22"/>
              </w:rPr>
              <w:t>bench</w:t>
            </w:r>
            <w:r w:rsidR="00B40D64" w:rsidRPr="00D45D8D">
              <w:rPr>
                <w:sz w:val="22"/>
                <w:szCs w:val="22"/>
              </w:rPr>
              <w:t>top</w:t>
            </w:r>
            <w:r w:rsidRPr="00D45D8D">
              <w:rPr>
                <w:sz w:val="22"/>
                <w:szCs w:val="22"/>
              </w:rPr>
              <w:t xml:space="preserve"> </w:t>
            </w:r>
            <w:proofErr w:type="spellStart"/>
            <w:r w:rsidRPr="00D45D8D">
              <w:rPr>
                <w:sz w:val="22"/>
                <w:szCs w:val="22"/>
              </w:rPr>
              <w:t>dewars</w:t>
            </w:r>
            <w:proofErr w:type="spellEnd"/>
            <w:r w:rsidRPr="00D45D8D">
              <w:rPr>
                <w:sz w:val="22"/>
                <w:szCs w:val="22"/>
              </w:rPr>
              <w:t xml:space="preserve"> </w:t>
            </w:r>
            <w:r w:rsidR="00B40D64" w:rsidRPr="00D45D8D">
              <w:rPr>
                <w:sz w:val="22"/>
                <w:szCs w:val="22"/>
              </w:rPr>
              <w:t xml:space="preserve">and storage </w:t>
            </w:r>
            <w:proofErr w:type="spellStart"/>
            <w:r w:rsidR="00B40D64" w:rsidRPr="00D45D8D">
              <w:rPr>
                <w:sz w:val="22"/>
                <w:szCs w:val="22"/>
              </w:rPr>
              <w:t>dewars</w:t>
            </w:r>
            <w:proofErr w:type="spellEnd"/>
          </w:p>
        </w:tc>
        <w:tc>
          <w:tcPr>
            <w:tcW w:w="1559" w:type="dxa"/>
          </w:tcPr>
          <w:p w:rsidR="00A500D3" w:rsidRPr="00D45D8D" w:rsidRDefault="00B40D64" w:rsidP="00A500D3">
            <w:pPr>
              <w:snapToGrid w:val="0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Frostbite / cold burns</w:t>
            </w:r>
          </w:p>
        </w:tc>
        <w:tc>
          <w:tcPr>
            <w:tcW w:w="1418" w:type="dxa"/>
          </w:tcPr>
          <w:p w:rsidR="00A500D3" w:rsidRPr="00D45D8D" w:rsidRDefault="00B40D64" w:rsidP="00A500D3">
            <w:pPr>
              <w:tabs>
                <w:tab w:val="left" w:pos="474"/>
              </w:tabs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Staff</w:t>
            </w:r>
          </w:p>
        </w:tc>
        <w:tc>
          <w:tcPr>
            <w:tcW w:w="7087" w:type="dxa"/>
          </w:tcPr>
          <w:p w:rsidR="00B40D64" w:rsidRPr="00D45D8D" w:rsidRDefault="00D45D8D" w:rsidP="00B40D6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PPE (detailed above) must</w:t>
            </w:r>
            <w:r w:rsidR="00B40D64" w:rsidRPr="00D45D8D">
              <w:rPr>
                <w:sz w:val="22"/>
                <w:szCs w:val="22"/>
              </w:rPr>
              <w:t xml:space="preserve"> be worn. Avoid exposing skin to liquefied gas or chilled pucks.</w:t>
            </w:r>
          </w:p>
          <w:p w:rsidR="00B40D64" w:rsidRPr="00D45D8D" w:rsidRDefault="00B40D64" w:rsidP="00B40D6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:rsidR="00B40D64" w:rsidRDefault="00B40D64" w:rsidP="00B40D6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D45D8D">
              <w:rPr>
                <w:sz w:val="22"/>
                <w:szCs w:val="22"/>
              </w:rPr>
              <w:t>Cryo</w:t>
            </w:r>
            <w:proofErr w:type="spellEnd"/>
            <w:r w:rsidRPr="00D45D8D">
              <w:rPr>
                <w:sz w:val="22"/>
                <w:szCs w:val="22"/>
              </w:rPr>
              <w:t xml:space="preserve"> tongs are used to facilitate the transfer and for reasons of dexterity tongs are favoured over gloves.</w:t>
            </w:r>
          </w:p>
          <w:p w:rsidR="00D45D8D" w:rsidRPr="00D45D8D" w:rsidRDefault="00D45D8D" w:rsidP="00B40D6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:rsidR="00B40D64" w:rsidRPr="00D45D8D" w:rsidRDefault="00B40D64" w:rsidP="00B40D6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 xml:space="preserve">The </w:t>
            </w:r>
            <w:proofErr w:type="spellStart"/>
            <w:r w:rsidRPr="00D45D8D">
              <w:rPr>
                <w:sz w:val="22"/>
                <w:szCs w:val="22"/>
              </w:rPr>
              <w:t>cryo</w:t>
            </w:r>
            <w:proofErr w:type="spellEnd"/>
            <w:r w:rsidRPr="00D45D8D">
              <w:rPr>
                <w:sz w:val="22"/>
                <w:szCs w:val="22"/>
              </w:rPr>
              <w:t xml:space="preserve"> tongs are insulated at the grip to prevent thermal transfer during the procedure.</w:t>
            </w:r>
          </w:p>
          <w:p w:rsidR="00B40D64" w:rsidRPr="00D45D8D" w:rsidRDefault="00B40D64" w:rsidP="00B40D6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:rsidR="00A500D3" w:rsidRPr="00D45D8D" w:rsidRDefault="00B40D64" w:rsidP="00B40D64">
            <w:pPr>
              <w:pStyle w:val="BodyTextIndent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Use suitable lidded storage containers with proper insulation when transferring pucks between the Lab and the wet LN2 store. Do not dispense into or transport in a non-insulated container. A complete set of puck handling tools is available within the facility and training on their safe use is provided where appropriate.</w:t>
            </w:r>
          </w:p>
        </w:tc>
        <w:tc>
          <w:tcPr>
            <w:tcW w:w="1055" w:type="dxa"/>
          </w:tcPr>
          <w:p w:rsidR="00A500D3" w:rsidRPr="00D45D8D" w:rsidRDefault="00B40D64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M</w:t>
            </w:r>
          </w:p>
        </w:tc>
        <w:tc>
          <w:tcPr>
            <w:tcW w:w="984" w:type="dxa"/>
          </w:tcPr>
          <w:p w:rsidR="00A500D3" w:rsidRPr="00D45D8D" w:rsidRDefault="00B40D64" w:rsidP="000A2568">
            <w:pPr>
              <w:jc w:val="both"/>
              <w:rPr>
                <w:sz w:val="22"/>
                <w:szCs w:val="22"/>
              </w:rPr>
            </w:pPr>
            <w:r w:rsidRPr="00D45D8D">
              <w:rPr>
                <w:sz w:val="22"/>
                <w:szCs w:val="22"/>
              </w:rPr>
              <w:t>A</w:t>
            </w:r>
          </w:p>
        </w:tc>
      </w:tr>
    </w:tbl>
    <w:p w:rsidR="005816CD" w:rsidRPr="00D45D8D" w:rsidRDefault="005816CD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816CD" w:rsidRPr="00D45D8D" w:rsidTr="00FA3DC0">
        <w:trPr>
          <w:trHeight w:val="577"/>
        </w:trPr>
        <w:tc>
          <w:tcPr>
            <w:tcW w:w="14218" w:type="dxa"/>
          </w:tcPr>
          <w:p w:rsidR="000A2568" w:rsidRPr="00D45D8D" w:rsidRDefault="000A2568" w:rsidP="00FA3DC0">
            <w:pPr>
              <w:jc w:val="both"/>
              <w:rPr>
                <w:color w:val="FF0000"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  <w:u w:val="single"/>
              </w:rPr>
              <w:t>Authorisation</w:t>
            </w:r>
            <w:r w:rsidR="005816CD" w:rsidRPr="00D45D8D">
              <w:rPr>
                <w:b/>
                <w:sz w:val="22"/>
                <w:szCs w:val="22"/>
                <w:u w:val="single"/>
              </w:rPr>
              <w:t xml:space="preserve"> </w:t>
            </w:r>
            <w:r w:rsidR="003847F9" w:rsidRPr="00D45D8D">
              <w:rPr>
                <w:b/>
                <w:sz w:val="22"/>
                <w:szCs w:val="22"/>
                <w:u w:val="single"/>
              </w:rPr>
              <w:t xml:space="preserve"> by PI </w:t>
            </w:r>
          </w:p>
          <w:p w:rsidR="000A2568" w:rsidRPr="00D45D8D" w:rsidRDefault="000A2568" w:rsidP="00FA3DC0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I confirm that I have considered and understand the experim</w:t>
            </w:r>
            <w:r w:rsidR="00FD7865" w:rsidRPr="00D45D8D">
              <w:rPr>
                <w:b/>
                <w:sz w:val="22"/>
                <w:szCs w:val="22"/>
              </w:rPr>
              <w:t xml:space="preserve">ent and the associated hazards. I am satisfied that all of the hazards have been identified and that the control measures to be followed will reduce the risks to acceptable levels. </w:t>
            </w:r>
          </w:p>
          <w:p w:rsidR="0064739F" w:rsidRPr="00D45D8D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D45D8D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 xml:space="preserve">Print name:                                                                   </w:t>
            </w:r>
            <w:r w:rsidR="00FD7865" w:rsidRPr="00D45D8D">
              <w:rPr>
                <w:b/>
                <w:sz w:val="22"/>
                <w:szCs w:val="22"/>
              </w:rPr>
              <w:t xml:space="preserve">               </w:t>
            </w:r>
            <w:r w:rsidRPr="00D45D8D">
              <w:rPr>
                <w:b/>
                <w:sz w:val="22"/>
                <w:szCs w:val="22"/>
              </w:rPr>
              <w:t>Signed:</w:t>
            </w:r>
          </w:p>
          <w:p w:rsidR="003847F9" w:rsidRPr="00D45D8D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D45D8D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Date:</w:t>
            </w:r>
          </w:p>
          <w:p w:rsidR="003847F9" w:rsidRPr="00D45D8D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847F9" w:rsidRPr="00D45D8D" w:rsidRDefault="003847F9">
      <w:pPr>
        <w:rPr>
          <w:sz w:val="22"/>
          <w:szCs w:val="22"/>
        </w:rPr>
      </w:pPr>
    </w:p>
    <w:p w:rsidR="000A2568" w:rsidRPr="00D45D8D" w:rsidRDefault="000A2568" w:rsidP="000A2568">
      <w:pPr>
        <w:jc w:val="both"/>
        <w:rPr>
          <w:sz w:val="22"/>
          <w:szCs w:val="22"/>
        </w:rPr>
      </w:pPr>
      <w:r w:rsidRPr="00D45D8D">
        <w:rPr>
          <w:b/>
          <w:sz w:val="22"/>
          <w:szCs w:val="22"/>
          <w:u w:val="single"/>
        </w:rPr>
        <w:t>Declaration</w:t>
      </w:r>
      <w:r w:rsidR="003847F9" w:rsidRPr="00D45D8D">
        <w:rPr>
          <w:b/>
          <w:sz w:val="22"/>
          <w:szCs w:val="22"/>
          <w:u w:val="single"/>
        </w:rPr>
        <w:t xml:space="preserve"> by researcher</w:t>
      </w:r>
    </w:p>
    <w:p w:rsidR="003847F9" w:rsidRPr="00D45D8D" w:rsidRDefault="000A2568" w:rsidP="000A2568">
      <w:pPr>
        <w:jc w:val="both"/>
        <w:rPr>
          <w:b/>
          <w:sz w:val="22"/>
          <w:szCs w:val="22"/>
        </w:rPr>
      </w:pPr>
      <w:r w:rsidRPr="00D45D8D">
        <w:rPr>
          <w:b/>
          <w:sz w:val="22"/>
          <w:szCs w:val="22"/>
        </w:rPr>
        <w:t xml:space="preserve">I confirm that I have read this Risk Assessment and </w:t>
      </w:r>
      <w:r w:rsidR="003847F9" w:rsidRPr="00D45D8D">
        <w:rPr>
          <w:b/>
          <w:sz w:val="22"/>
          <w:szCs w:val="22"/>
        </w:rPr>
        <w:t>that I understand the hazards and risks involved and will follow all of the safety procedures stated.</w:t>
      </w:r>
      <w:r w:rsidR="00D45D8D" w:rsidRPr="00D45D8D">
        <w:rPr>
          <w:b/>
          <w:sz w:val="22"/>
          <w:szCs w:val="22"/>
        </w:rPr>
        <w:t xml:space="preserve"> Where PPE has been identified as a control measure, I will ensure that it is worn.</w:t>
      </w:r>
      <w:bookmarkStart w:id="0" w:name="_GoBack"/>
      <w:bookmarkEnd w:id="0"/>
    </w:p>
    <w:p w:rsidR="0064739F" w:rsidRPr="00D45D8D" w:rsidRDefault="0064739F" w:rsidP="0064739F">
      <w:pPr>
        <w:jc w:val="both"/>
        <w:rPr>
          <w:b/>
          <w:sz w:val="22"/>
          <w:szCs w:val="22"/>
          <w:u w:val="single"/>
        </w:rPr>
      </w:pPr>
    </w:p>
    <w:p w:rsidR="0064739F" w:rsidRPr="00D45D8D" w:rsidRDefault="0064739F" w:rsidP="0064739F">
      <w:pPr>
        <w:jc w:val="both"/>
        <w:rPr>
          <w:sz w:val="22"/>
          <w:szCs w:val="22"/>
        </w:rPr>
      </w:pPr>
      <w:r w:rsidRPr="00D45D8D">
        <w:rPr>
          <w:b/>
          <w:sz w:val="22"/>
          <w:szCs w:val="22"/>
          <w:u w:val="single"/>
        </w:rPr>
        <w:t>Declaration by PI</w:t>
      </w:r>
    </w:p>
    <w:p w:rsidR="0064739F" w:rsidRPr="00D45D8D" w:rsidRDefault="0064739F" w:rsidP="0064739F">
      <w:pPr>
        <w:jc w:val="both"/>
        <w:rPr>
          <w:b/>
          <w:sz w:val="22"/>
          <w:szCs w:val="22"/>
        </w:rPr>
      </w:pPr>
      <w:r w:rsidRPr="00D45D8D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64739F" w:rsidRPr="00D45D8D" w:rsidRDefault="0064739F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64739F" w:rsidRPr="00D45D8D" w:rsidTr="00FA3DC0">
        <w:tc>
          <w:tcPr>
            <w:tcW w:w="3510" w:type="dxa"/>
          </w:tcPr>
          <w:p w:rsidR="0064739F" w:rsidRPr="00D45D8D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Name (please print)</w:t>
            </w:r>
          </w:p>
          <w:p w:rsidR="0064739F" w:rsidRPr="00D45D8D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 xml:space="preserve">PI </w:t>
            </w:r>
            <w:r w:rsidR="009154E8" w:rsidRPr="00D45D8D">
              <w:rPr>
                <w:b/>
                <w:sz w:val="22"/>
                <w:szCs w:val="22"/>
              </w:rPr>
              <w:t>countersignature</w:t>
            </w:r>
          </w:p>
        </w:tc>
        <w:tc>
          <w:tcPr>
            <w:tcW w:w="1636" w:type="dxa"/>
          </w:tcPr>
          <w:p w:rsidR="0064739F" w:rsidRPr="00D45D8D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D45D8D">
              <w:rPr>
                <w:b/>
                <w:sz w:val="22"/>
                <w:szCs w:val="22"/>
              </w:rPr>
              <w:t>date</w:t>
            </w:r>
          </w:p>
        </w:tc>
      </w:tr>
      <w:tr w:rsidR="0064739F" w:rsidRPr="00D45D8D" w:rsidTr="00FA3DC0">
        <w:trPr>
          <w:trHeight w:val="679"/>
        </w:trPr>
        <w:tc>
          <w:tcPr>
            <w:tcW w:w="3510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D45D8D" w:rsidTr="00FA3DC0">
        <w:trPr>
          <w:trHeight w:val="679"/>
        </w:trPr>
        <w:tc>
          <w:tcPr>
            <w:tcW w:w="3510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D45D8D" w:rsidTr="00FA3DC0">
        <w:trPr>
          <w:trHeight w:val="680"/>
        </w:trPr>
        <w:tc>
          <w:tcPr>
            <w:tcW w:w="3510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D45D8D" w:rsidTr="00FA3DC0">
        <w:trPr>
          <w:trHeight w:val="680"/>
        </w:trPr>
        <w:tc>
          <w:tcPr>
            <w:tcW w:w="3510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D45D8D" w:rsidTr="00FA3DC0">
        <w:trPr>
          <w:trHeight w:val="680"/>
        </w:trPr>
        <w:tc>
          <w:tcPr>
            <w:tcW w:w="3510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D45D8D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</w:tbl>
    <w:p w:rsidR="00E01D5E" w:rsidRPr="00D45D8D" w:rsidRDefault="00E01D5E" w:rsidP="000A2568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sectPr w:rsidR="00E01D5E" w:rsidRPr="00D45D8D" w:rsidSect="00D45D8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A1" w:rsidRDefault="00253FA1">
      <w:r>
        <w:separator/>
      </w:r>
    </w:p>
  </w:endnote>
  <w:endnote w:type="continuationSeparator" w:id="0">
    <w:p w:rsidR="00253FA1" w:rsidRDefault="0025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A1" w:rsidRDefault="00253FA1">
      <w:r>
        <w:separator/>
      </w:r>
    </w:p>
  </w:footnote>
  <w:footnote w:type="continuationSeparator" w:id="0">
    <w:p w:rsidR="00253FA1" w:rsidRDefault="0025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58F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C22EFC"/>
    <w:multiLevelType w:val="hybridMultilevel"/>
    <w:tmpl w:val="4718E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3D9D"/>
    <w:rsid w:val="000113D7"/>
    <w:rsid w:val="00025E76"/>
    <w:rsid w:val="0005133D"/>
    <w:rsid w:val="000A2568"/>
    <w:rsid w:val="000A486F"/>
    <w:rsid w:val="000A501D"/>
    <w:rsid w:val="000B2DE9"/>
    <w:rsid w:val="00127084"/>
    <w:rsid w:val="001D5D34"/>
    <w:rsid w:val="001D75FC"/>
    <w:rsid w:val="0020100F"/>
    <w:rsid w:val="00253FA1"/>
    <w:rsid w:val="002821B8"/>
    <w:rsid w:val="002A200C"/>
    <w:rsid w:val="002D7ABB"/>
    <w:rsid w:val="003500D5"/>
    <w:rsid w:val="00364B84"/>
    <w:rsid w:val="003847F9"/>
    <w:rsid w:val="004E20DD"/>
    <w:rsid w:val="004E33B8"/>
    <w:rsid w:val="00510D6C"/>
    <w:rsid w:val="005225C9"/>
    <w:rsid w:val="005650C7"/>
    <w:rsid w:val="005816CD"/>
    <w:rsid w:val="005C135F"/>
    <w:rsid w:val="005E68E8"/>
    <w:rsid w:val="0064739F"/>
    <w:rsid w:val="00665FBE"/>
    <w:rsid w:val="0067291A"/>
    <w:rsid w:val="00690FCB"/>
    <w:rsid w:val="00791668"/>
    <w:rsid w:val="008139BB"/>
    <w:rsid w:val="00856A77"/>
    <w:rsid w:val="008F47E5"/>
    <w:rsid w:val="009154E8"/>
    <w:rsid w:val="00945D8B"/>
    <w:rsid w:val="009538CF"/>
    <w:rsid w:val="0096166B"/>
    <w:rsid w:val="00964569"/>
    <w:rsid w:val="009B5F67"/>
    <w:rsid w:val="009E0F87"/>
    <w:rsid w:val="009F0C43"/>
    <w:rsid w:val="00A500D3"/>
    <w:rsid w:val="00AD5485"/>
    <w:rsid w:val="00AE1A75"/>
    <w:rsid w:val="00B35E07"/>
    <w:rsid w:val="00B40D64"/>
    <w:rsid w:val="00B613A2"/>
    <w:rsid w:val="00B6582D"/>
    <w:rsid w:val="00BD53AC"/>
    <w:rsid w:val="00C66350"/>
    <w:rsid w:val="00C74CA7"/>
    <w:rsid w:val="00CA2B83"/>
    <w:rsid w:val="00CC7836"/>
    <w:rsid w:val="00D15D78"/>
    <w:rsid w:val="00D30F1A"/>
    <w:rsid w:val="00D45D8D"/>
    <w:rsid w:val="00D75F63"/>
    <w:rsid w:val="00DB7477"/>
    <w:rsid w:val="00E01D5E"/>
    <w:rsid w:val="00E3654D"/>
    <w:rsid w:val="00F443A5"/>
    <w:rsid w:val="00FA3DC0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5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5237</CharactersWithSpaces>
  <SharedDoc>false</SharedDoc>
  <HLinks>
    <vt:vector size="6" baseType="variant">
      <vt:variant>
        <vt:i4>4390987</vt:i4>
      </vt:variant>
      <vt:variant>
        <vt:i4>-1</vt:i4>
      </vt:variant>
      <vt:variant>
        <vt:i4>1026</vt:i4>
      </vt:variant>
      <vt:variant>
        <vt:i4>1</vt:i4>
      </vt:variant>
      <vt:variant>
        <vt:lpwstr>TUOM_4COL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2008-11-13T09:31:00Z</cp:lastPrinted>
  <dcterms:created xsi:type="dcterms:W3CDTF">2015-02-26T13:49:00Z</dcterms:created>
  <dcterms:modified xsi:type="dcterms:W3CDTF">2015-02-26T13:49:00Z</dcterms:modified>
</cp:coreProperties>
</file>