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68" w:rsidRPr="00D03566" w:rsidRDefault="00144068" w:rsidP="00144068">
      <w:pPr>
        <w:pStyle w:val="BodyTextIndent"/>
        <w:rPr>
          <w:b/>
          <w:bCs/>
          <w:sz w:val="22"/>
          <w:szCs w:val="22"/>
          <w:u w:val="single"/>
        </w:rPr>
      </w:pPr>
      <w:r w:rsidRPr="00D03566">
        <w:rPr>
          <w:b/>
          <w:sz w:val="22"/>
          <w:szCs w:val="22"/>
          <w:u w:val="single"/>
        </w:rPr>
        <w:t xml:space="preserve">Manchester Institute of </w:t>
      </w:r>
      <w:proofErr w:type="gramStart"/>
      <w:r w:rsidRPr="00D03566">
        <w:rPr>
          <w:b/>
          <w:sz w:val="22"/>
          <w:szCs w:val="22"/>
          <w:u w:val="single"/>
        </w:rPr>
        <w:t>Biotechnology</w:t>
      </w:r>
      <w:r w:rsidRPr="00D03566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D03566">
        <w:rPr>
          <w:b/>
          <w:bCs/>
          <w:sz w:val="22"/>
          <w:szCs w:val="22"/>
          <w:u w:val="single"/>
        </w:rPr>
        <w:t xml:space="preserve"> Risk Assessment Form</w:t>
      </w:r>
    </w:p>
    <w:p w:rsidR="0005133D" w:rsidRPr="00D03566" w:rsidRDefault="0020100F">
      <w:pPr>
        <w:pStyle w:val="BodyTextIndent"/>
        <w:rPr>
          <w:sz w:val="22"/>
          <w:szCs w:val="22"/>
        </w:rPr>
      </w:pPr>
      <w:r w:rsidRPr="00D03566"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7" o:title="TUOM_4COL"/>
            <w10:wrap anchorx="page" anchory="page"/>
          </v:shape>
        </w:pict>
      </w:r>
    </w:p>
    <w:p w:rsidR="0020100F" w:rsidRPr="00D03566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D03566" w:rsidTr="0042391D">
        <w:tblPrEx>
          <w:tblCellMar>
            <w:top w:w="0" w:type="dxa"/>
            <w:bottom w:w="0" w:type="dxa"/>
          </w:tblCellMar>
        </w:tblPrEx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D03566" w:rsidRDefault="008F47E5">
            <w:pPr>
              <w:rPr>
                <w:color w:val="FF0000"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Date:</w:t>
            </w:r>
            <w:r w:rsidR="002D7ABB" w:rsidRPr="00D03566">
              <w:rPr>
                <w:sz w:val="22"/>
                <w:szCs w:val="22"/>
              </w:rPr>
              <w:t xml:space="preserve"> </w:t>
            </w:r>
            <w:r w:rsidR="00D03566">
              <w:rPr>
                <w:sz w:val="22"/>
                <w:szCs w:val="22"/>
              </w:rPr>
              <w:t>23/01/15</w:t>
            </w:r>
          </w:p>
          <w:p w:rsidR="008F47E5" w:rsidRPr="00D03566" w:rsidRDefault="008F47E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D03566" w:rsidRDefault="008F47E5">
            <w:pPr>
              <w:rPr>
                <w:color w:val="FF0000"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Assessed by</w:t>
            </w:r>
            <w:r w:rsidRPr="00D03566">
              <w:rPr>
                <w:sz w:val="22"/>
                <w:szCs w:val="22"/>
              </w:rPr>
              <w:t>:</w:t>
            </w:r>
            <w:r w:rsidR="002D7ABB" w:rsidRPr="00D03566">
              <w:rPr>
                <w:sz w:val="22"/>
                <w:szCs w:val="22"/>
              </w:rPr>
              <w:t xml:space="preserve"> </w:t>
            </w:r>
          </w:p>
          <w:p w:rsidR="00CA2B83" w:rsidRPr="00D03566" w:rsidRDefault="00D03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Marriage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D03566" w:rsidRDefault="00B613A2">
            <w:pPr>
              <w:rPr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Validated by</w:t>
            </w:r>
            <w:r w:rsidRPr="00D03566">
              <w:rPr>
                <w:sz w:val="22"/>
                <w:szCs w:val="22"/>
              </w:rPr>
              <w:t>:</w:t>
            </w:r>
            <w:r w:rsidR="002D7ABB" w:rsidRPr="00D03566">
              <w:rPr>
                <w:sz w:val="22"/>
                <w:szCs w:val="22"/>
              </w:rPr>
              <w:t xml:space="preserve"> </w:t>
            </w:r>
          </w:p>
          <w:p w:rsidR="00B613A2" w:rsidRPr="00D03566" w:rsidRDefault="0042391D">
            <w:pPr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D03566" w:rsidRDefault="008F47E5">
            <w:pPr>
              <w:rPr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Location</w:t>
            </w:r>
            <w:r w:rsidRPr="00D03566">
              <w:rPr>
                <w:sz w:val="22"/>
                <w:szCs w:val="22"/>
              </w:rPr>
              <w:t>:</w:t>
            </w:r>
          </w:p>
          <w:p w:rsidR="008F47E5" w:rsidRPr="00D03566" w:rsidRDefault="008F47E5">
            <w:pPr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 xml:space="preserve"> </w:t>
            </w:r>
            <w:r w:rsidR="008139BB" w:rsidRPr="00D03566">
              <w:rPr>
                <w:sz w:val="22"/>
                <w:szCs w:val="22"/>
              </w:rPr>
              <w:t>MIB</w:t>
            </w:r>
            <w:r w:rsidR="002D7ABB" w:rsidRPr="00D035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D03566" w:rsidRDefault="008F47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D03566" w:rsidRDefault="008F47E5">
            <w:pPr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Review date:</w:t>
            </w:r>
            <w:r w:rsidR="002D7ABB" w:rsidRPr="00D03566">
              <w:rPr>
                <w:b/>
                <w:sz w:val="22"/>
                <w:szCs w:val="22"/>
              </w:rPr>
              <w:t xml:space="preserve"> </w:t>
            </w:r>
          </w:p>
          <w:p w:rsidR="008139BB" w:rsidRPr="00D03566" w:rsidRDefault="00D03566" w:rsidP="0014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22/01/16</w:t>
            </w:r>
          </w:p>
        </w:tc>
      </w:tr>
      <w:tr w:rsidR="00B613A2" w:rsidRPr="00D03566" w:rsidTr="0042391D">
        <w:tblPrEx>
          <w:tblCellMar>
            <w:top w:w="0" w:type="dxa"/>
            <w:bottom w:w="0" w:type="dxa"/>
          </w:tblCellMar>
        </w:tblPrEx>
        <w:trPr>
          <w:cantSplit/>
          <w:trHeight w:val="804"/>
          <w:tblHeader/>
          <w:jc w:val="center"/>
        </w:trPr>
        <w:tc>
          <w:tcPr>
            <w:tcW w:w="14175" w:type="dxa"/>
            <w:gridSpan w:val="6"/>
          </w:tcPr>
          <w:p w:rsidR="005650C7" w:rsidRPr="00D03566" w:rsidRDefault="00B613A2" w:rsidP="00506CF3">
            <w:pPr>
              <w:rPr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 xml:space="preserve">Task </w:t>
            </w:r>
          </w:p>
          <w:p w:rsidR="0005133D" w:rsidRPr="00D03566" w:rsidRDefault="003547E2" w:rsidP="0042391D">
            <w:pPr>
              <w:ind w:left="567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Dissection of Biological Material of both human and non-human origin.</w:t>
            </w:r>
          </w:p>
        </w:tc>
      </w:tr>
    </w:tbl>
    <w:p w:rsidR="003547E2" w:rsidRPr="00D03566" w:rsidRDefault="003547E2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417"/>
        <w:gridCol w:w="2410"/>
        <w:gridCol w:w="6804"/>
        <w:gridCol w:w="1055"/>
        <w:gridCol w:w="984"/>
      </w:tblGrid>
      <w:tr w:rsidR="0020100F" w:rsidRPr="00D03566" w:rsidTr="004246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D03566" w:rsidRDefault="0020100F">
            <w:pPr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Activity</w:t>
            </w:r>
            <w:r w:rsidR="002D7ABB" w:rsidRPr="00D035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D03566" w:rsidRDefault="0020100F">
            <w:pPr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Hazard</w:t>
            </w:r>
            <w:r w:rsidR="002D7ABB" w:rsidRPr="00D035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D03566" w:rsidRDefault="0020100F">
            <w:pPr>
              <w:rPr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Person(s) in dange</w:t>
            </w:r>
            <w:r w:rsidRPr="00D03566">
              <w:rPr>
                <w:sz w:val="22"/>
                <w:szCs w:val="22"/>
              </w:rPr>
              <w:t>r</w:t>
            </w:r>
            <w:r w:rsidR="002D7ABB" w:rsidRPr="00D035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D03566" w:rsidRDefault="0020100F">
            <w:pPr>
              <w:rPr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Existing measures to control risk</w:t>
            </w:r>
            <w:r w:rsidR="002D7ABB" w:rsidRPr="00D035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D03566" w:rsidRDefault="00BD53AC">
            <w:pPr>
              <w:rPr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Risk rating</w:t>
            </w:r>
            <w:r w:rsidR="002D7ABB" w:rsidRPr="00D035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D03566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Result</w:t>
            </w:r>
            <w:r w:rsidR="002D7ABB" w:rsidRPr="00D035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566" w:rsidRPr="00D03566" w:rsidTr="00424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5" w:type="dxa"/>
            <w:tcBorders>
              <w:bottom w:val="single" w:sz="4" w:space="0" w:color="auto"/>
            </w:tcBorders>
          </w:tcPr>
          <w:p w:rsidR="00D03566" w:rsidRPr="00D03566" w:rsidRDefault="00D03566" w:rsidP="00DE7A12">
            <w:pPr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Dissection of Biological Material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566" w:rsidRPr="00D03566" w:rsidRDefault="00D03566" w:rsidP="00DE7A12">
            <w:pPr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Biological hazard - risk of infection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3566" w:rsidRPr="00D03566" w:rsidRDefault="00D03566" w:rsidP="00DE7A12">
            <w:pPr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Staff  and other workers nearby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 xml:space="preserve">All staff working with human material </w:t>
            </w:r>
            <w:r w:rsidR="001A502F">
              <w:rPr>
                <w:sz w:val="22"/>
                <w:szCs w:val="22"/>
              </w:rPr>
              <w:t>should be</w:t>
            </w:r>
            <w:r w:rsidRPr="00D03566">
              <w:rPr>
                <w:sz w:val="22"/>
                <w:szCs w:val="22"/>
              </w:rPr>
              <w:t xml:space="preserve"> vaccinated against H</w:t>
            </w:r>
            <w:r w:rsidR="001A502F">
              <w:rPr>
                <w:sz w:val="22"/>
                <w:szCs w:val="22"/>
              </w:rPr>
              <w:t xml:space="preserve">epatitis B, and users of animal </w:t>
            </w:r>
            <w:r w:rsidRPr="00D03566">
              <w:rPr>
                <w:sz w:val="22"/>
                <w:szCs w:val="22"/>
              </w:rPr>
              <w:t>tissue</w:t>
            </w:r>
            <w:r w:rsidR="001A502F">
              <w:rPr>
                <w:sz w:val="22"/>
                <w:szCs w:val="22"/>
              </w:rPr>
              <w:t>s</w:t>
            </w:r>
            <w:r w:rsidRPr="00D03566">
              <w:rPr>
                <w:sz w:val="22"/>
                <w:szCs w:val="22"/>
              </w:rPr>
              <w:t xml:space="preserve"> </w:t>
            </w:r>
            <w:r w:rsidR="001A502F">
              <w:rPr>
                <w:sz w:val="22"/>
                <w:szCs w:val="22"/>
              </w:rPr>
              <w:t>should be</w:t>
            </w:r>
            <w:r w:rsidRPr="00D03566">
              <w:rPr>
                <w:sz w:val="22"/>
                <w:szCs w:val="22"/>
              </w:rPr>
              <w:t xml:space="preserve"> protected against tetanus.</w:t>
            </w:r>
            <w:r w:rsidR="001A502F">
              <w:rPr>
                <w:sz w:val="22"/>
                <w:szCs w:val="22"/>
              </w:rPr>
              <w:t xml:space="preserve"> Vaccination is available from Occupational Health.</w:t>
            </w:r>
          </w:p>
          <w:p w:rsidR="0042461C" w:rsidRPr="00D03566" w:rsidRDefault="0042461C" w:rsidP="00DE7A12">
            <w:pPr>
              <w:jc w:val="both"/>
              <w:rPr>
                <w:sz w:val="22"/>
                <w:szCs w:val="22"/>
              </w:rPr>
            </w:pPr>
          </w:p>
          <w:p w:rsid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Work is only undertaken in laboratories where there are adequate containment levels for the nature of the material under investigation.</w:t>
            </w:r>
          </w:p>
          <w:p w:rsidR="0042461C" w:rsidRPr="00D03566" w:rsidRDefault="0042461C" w:rsidP="00DE7A12">
            <w:pPr>
              <w:jc w:val="both"/>
              <w:rPr>
                <w:sz w:val="22"/>
                <w:szCs w:val="22"/>
              </w:rPr>
            </w:pPr>
          </w:p>
          <w:p w:rsidR="001A502F" w:rsidRPr="001A502F" w:rsidRDefault="001A502F" w:rsidP="001A502F">
            <w:pPr>
              <w:jc w:val="both"/>
              <w:rPr>
                <w:rFonts w:eastAsia="Calibri"/>
                <w:sz w:val="22"/>
                <w:szCs w:val="22"/>
              </w:rPr>
            </w:pPr>
            <w:r w:rsidRPr="001A502F">
              <w:rPr>
                <w:rFonts w:eastAsia="Calibri"/>
                <w:sz w:val="22"/>
                <w:szCs w:val="22"/>
              </w:rPr>
              <w:t>The following items of PPE must be worn: Howie-style laboratory coat</w:t>
            </w:r>
            <w:r>
              <w:rPr>
                <w:rFonts w:eastAsia="Calibri"/>
                <w:sz w:val="22"/>
                <w:szCs w:val="22"/>
              </w:rPr>
              <w:t xml:space="preserve"> and</w:t>
            </w:r>
            <w:r w:rsidRPr="001A502F">
              <w:rPr>
                <w:rFonts w:eastAsia="Calibri"/>
                <w:sz w:val="22"/>
                <w:szCs w:val="22"/>
              </w:rPr>
              <w:t xml:space="preserve"> BS EN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A502F">
              <w:rPr>
                <w:rFonts w:eastAsia="Calibri"/>
                <w:sz w:val="22"/>
                <w:szCs w:val="22"/>
              </w:rPr>
              <w:t>374 compliant gloves (nitrile) Regular lab inspections monitor the wearing of PPE; users found not to be wearing PPE when the risk assessment states that it must be worn will be subject to the MIB compliance policy.</w:t>
            </w:r>
          </w:p>
          <w:p w:rsidR="0042461C" w:rsidRPr="00D03566" w:rsidRDefault="0042461C" w:rsidP="00DE7A12">
            <w:pPr>
              <w:jc w:val="both"/>
              <w:rPr>
                <w:sz w:val="22"/>
                <w:szCs w:val="22"/>
              </w:rPr>
            </w:pPr>
          </w:p>
          <w:p w:rsid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Cuts/abrasions on the hand must be covered with a waterproof dressing.</w:t>
            </w:r>
          </w:p>
          <w:p w:rsidR="0042461C" w:rsidRPr="00D03566" w:rsidRDefault="0042461C" w:rsidP="00DE7A12">
            <w:pPr>
              <w:jc w:val="both"/>
              <w:rPr>
                <w:sz w:val="22"/>
                <w:szCs w:val="22"/>
              </w:rPr>
            </w:pPr>
          </w:p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The work area, equipment and instruments used are thoroughly cleaned and decontaminated after use using appropriate methods.</w:t>
            </w:r>
          </w:p>
          <w:p w:rsid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Waste material is decontaminated, where necessary, prior to disposal by the appropriate MIB disposal route.</w:t>
            </w:r>
          </w:p>
          <w:p w:rsidR="0042461C" w:rsidRPr="00D03566" w:rsidRDefault="0042461C" w:rsidP="00DE7A12">
            <w:pPr>
              <w:jc w:val="both"/>
              <w:rPr>
                <w:sz w:val="22"/>
                <w:szCs w:val="22"/>
              </w:rPr>
            </w:pPr>
          </w:p>
          <w:p w:rsid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 xml:space="preserve">Disposable equipment is used whenever practicable. </w:t>
            </w:r>
          </w:p>
          <w:p w:rsidR="0042461C" w:rsidRPr="00D03566" w:rsidRDefault="0042461C" w:rsidP="00DE7A12">
            <w:pPr>
              <w:jc w:val="both"/>
              <w:rPr>
                <w:sz w:val="22"/>
                <w:szCs w:val="22"/>
              </w:rPr>
            </w:pPr>
          </w:p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 xml:space="preserve">The supervisor ensures that all staff involved in dissection of biological material </w:t>
            </w:r>
            <w:proofErr w:type="gramStart"/>
            <w:r w:rsidRPr="00D03566">
              <w:rPr>
                <w:sz w:val="22"/>
                <w:szCs w:val="22"/>
              </w:rPr>
              <w:t>are</w:t>
            </w:r>
            <w:proofErr w:type="gramEnd"/>
            <w:r w:rsidRPr="00D03566">
              <w:rPr>
                <w:sz w:val="22"/>
                <w:szCs w:val="22"/>
              </w:rPr>
              <w:t xml:space="preserve"> given appropriate training in safe working practices, including the procedure to be followed in the event of an accident. The details are given in the MIB Health and Safety Manual.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03566" w:rsidRPr="00D03566" w:rsidRDefault="00D03566" w:rsidP="00DE7A12">
            <w:pPr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03566" w:rsidRPr="00D03566" w:rsidRDefault="00D03566" w:rsidP="00DE7A12">
            <w:pPr>
              <w:jc w:val="center"/>
              <w:rPr>
                <w:sz w:val="22"/>
                <w:szCs w:val="22"/>
              </w:rPr>
            </w:pPr>
            <w:r w:rsidRPr="00D03566">
              <w:rPr>
                <w:sz w:val="22"/>
                <w:szCs w:val="22"/>
              </w:rPr>
              <w:t>A</w:t>
            </w:r>
          </w:p>
        </w:tc>
      </w:tr>
      <w:tr w:rsidR="00D03566" w:rsidRPr="00D03566" w:rsidTr="00424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5" w:type="dxa"/>
            <w:tcBorders>
              <w:bottom w:val="single" w:sz="4" w:space="0" w:color="auto"/>
            </w:tcBorders>
          </w:tcPr>
          <w:p w:rsidR="00D03566" w:rsidRPr="00D03566" w:rsidRDefault="00D0356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566" w:rsidRPr="00E2594C" w:rsidRDefault="00D03566" w:rsidP="00D03566">
            <w:pPr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 xml:space="preserve">Cut – Dissecting </w:t>
            </w:r>
            <w:r>
              <w:rPr>
                <w:sz w:val="22"/>
                <w:szCs w:val="22"/>
              </w:rPr>
              <w:t>biological material</w:t>
            </w:r>
            <w:r w:rsidRPr="00E2594C">
              <w:rPr>
                <w:sz w:val="22"/>
                <w:szCs w:val="22"/>
              </w:rPr>
              <w:t xml:space="preserve"> with scalpel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3566" w:rsidRPr="00E2594C" w:rsidRDefault="00D03566" w:rsidP="00DE7A12">
            <w:pPr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>Staff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461C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 xml:space="preserve">All work is to be carried out in the designated </w:t>
            </w:r>
            <w:r w:rsidR="001A502F">
              <w:rPr>
                <w:sz w:val="22"/>
                <w:szCs w:val="22"/>
              </w:rPr>
              <w:t xml:space="preserve">class II microbiological safety </w:t>
            </w:r>
            <w:r w:rsidRPr="00E2594C">
              <w:rPr>
                <w:sz w:val="22"/>
                <w:szCs w:val="22"/>
              </w:rPr>
              <w:t xml:space="preserve">cabinet using forceps and either disposable scalpels or the correct scalpel blade and handle.  </w:t>
            </w:r>
          </w:p>
          <w:p w:rsidR="0042461C" w:rsidRDefault="0042461C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</w:p>
          <w:p w:rsidR="0042461C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 xml:space="preserve">Disposable scalpels and removable blades must be discarded in sharps bin.  </w:t>
            </w:r>
          </w:p>
          <w:p w:rsidR="0042461C" w:rsidRDefault="0042461C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</w:p>
          <w:p w:rsidR="0042461C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 xml:space="preserve">Disposable Scalpels should be used where possible. </w:t>
            </w:r>
          </w:p>
          <w:p w:rsidR="0042461C" w:rsidRDefault="0042461C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</w:p>
          <w:p w:rsidR="0042461C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 xml:space="preserve">If using removable blades and handles the removable blade must only be dismantled using the inbuilt blade removal slot on top of the sharps bin.  </w:t>
            </w:r>
          </w:p>
          <w:p w:rsidR="0042461C" w:rsidRDefault="0042461C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</w:p>
          <w:p w:rsidR="00D03566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 xml:space="preserve">Howie style lab coats and disposable </w:t>
            </w:r>
            <w:r w:rsidR="001A502F">
              <w:rPr>
                <w:sz w:val="22"/>
                <w:szCs w:val="22"/>
              </w:rPr>
              <w:t xml:space="preserve">BS </w:t>
            </w:r>
            <w:r w:rsidRPr="00E2594C">
              <w:rPr>
                <w:sz w:val="22"/>
                <w:szCs w:val="22"/>
              </w:rPr>
              <w:t>EN</w:t>
            </w:r>
            <w:r w:rsidR="001A502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2594C">
              <w:rPr>
                <w:sz w:val="22"/>
                <w:szCs w:val="22"/>
              </w:rPr>
              <w:t>374 compliant gloves are worn at all times when handling biological material.</w:t>
            </w:r>
          </w:p>
          <w:p w:rsidR="0042461C" w:rsidRPr="00E2594C" w:rsidRDefault="0042461C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</w:p>
          <w:p w:rsidR="00D03566" w:rsidRPr="00E2594C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>All SOPs should be followed for the safe use of scalpel blades.</w:t>
            </w:r>
          </w:p>
          <w:p w:rsidR="00D03566" w:rsidRPr="00E2594C" w:rsidRDefault="00D03566" w:rsidP="0042461C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03566" w:rsidRPr="00E2594C" w:rsidRDefault="00D03566" w:rsidP="00DE7A12">
            <w:pPr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03566" w:rsidRPr="00E2594C" w:rsidRDefault="00D03566" w:rsidP="00DE7A12">
            <w:pPr>
              <w:jc w:val="center"/>
              <w:rPr>
                <w:sz w:val="22"/>
                <w:szCs w:val="22"/>
              </w:rPr>
            </w:pPr>
            <w:r w:rsidRPr="00E2594C">
              <w:rPr>
                <w:sz w:val="22"/>
                <w:szCs w:val="22"/>
              </w:rPr>
              <w:t>A</w:t>
            </w:r>
          </w:p>
        </w:tc>
      </w:tr>
    </w:tbl>
    <w:p w:rsidR="00E82FF3" w:rsidRPr="00D03566" w:rsidRDefault="00E82FF3" w:rsidP="00E82F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E82FF3" w:rsidRPr="00D03566" w:rsidTr="00E61B75">
        <w:trPr>
          <w:trHeight w:val="577"/>
        </w:trPr>
        <w:tc>
          <w:tcPr>
            <w:tcW w:w="14218" w:type="dxa"/>
          </w:tcPr>
          <w:p w:rsidR="00E82FF3" w:rsidRPr="00D03566" w:rsidRDefault="00E82FF3" w:rsidP="00E61B75">
            <w:pPr>
              <w:jc w:val="both"/>
              <w:rPr>
                <w:color w:val="FF0000"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Date:</w:t>
            </w: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82FF3" w:rsidRPr="00D03566" w:rsidRDefault="00E82FF3" w:rsidP="00E82FF3">
      <w:pPr>
        <w:rPr>
          <w:sz w:val="22"/>
          <w:szCs w:val="22"/>
        </w:rPr>
      </w:pPr>
    </w:p>
    <w:p w:rsidR="00E82FF3" w:rsidRPr="00D03566" w:rsidRDefault="00E82FF3" w:rsidP="00E82FF3">
      <w:pPr>
        <w:jc w:val="both"/>
        <w:rPr>
          <w:sz w:val="22"/>
          <w:szCs w:val="22"/>
        </w:rPr>
      </w:pPr>
      <w:r w:rsidRPr="00D03566">
        <w:rPr>
          <w:b/>
          <w:sz w:val="22"/>
          <w:szCs w:val="22"/>
          <w:u w:val="single"/>
        </w:rPr>
        <w:t>Declaration by researcher</w:t>
      </w:r>
    </w:p>
    <w:p w:rsidR="00E82FF3" w:rsidRPr="00D03566" w:rsidRDefault="00E82FF3" w:rsidP="00E82FF3">
      <w:pPr>
        <w:jc w:val="both"/>
        <w:rPr>
          <w:b/>
          <w:sz w:val="22"/>
          <w:szCs w:val="22"/>
        </w:rPr>
      </w:pPr>
      <w:r w:rsidRPr="00D03566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  <w:r w:rsidR="001C5A2C" w:rsidRPr="001C5A2C">
        <w:rPr>
          <w:b/>
          <w:sz w:val="22"/>
          <w:szCs w:val="22"/>
        </w:rPr>
        <w:t xml:space="preserve"> Where PPE has been identified as a control measure, I will ensure that it is worn.</w:t>
      </w:r>
    </w:p>
    <w:p w:rsidR="00E82FF3" w:rsidRPr="00D03566" w:rsidRDefault="00E82FF3" w:rsidP="00E82FF3">
      <w:pPr>
        <w:jc w:val="both"/>
        <w:rPr>
          <w:b/>
          <w:sz w:val="22"/>
          <w:szCs w:val="22"/>
          <w:u w:val="single"/>
        </w:rPr>
      </w:pPr>
    </w:p>
    <w:p w:rsidR="00E82FF3" w:rsidRPr="00D03566" w:rsidRDefault="00E82FF3" w:rsidP="00E82FF3">
      <w:pPr>
        <w:jc w:val="both"/>
        <w:rPr>
          <w:sz w:val="22"/>
          <w:szCs w:val="22"/>
        </w:rPr>
      </w:pPr>
      <w:r w:rsidRPr="00D03566">
        <w:rPr>
          <w:b/>
          <w:sz w:val="22"/>
          <w:szCs w:val="22"/>
          <w:u w:val="single"/>
        </w:rPr>
        <w:t>Declaration by PI</w:t>
      </w:r>
    </w:p>
    <w:p w:rsidR="00E82FF3" w:rsidRPr="00D03566" w:rsidRDefault="00E82FF3" w:rsidP="00E82FF3">
      <w:pPr>
        <w:jc w:val="both"/>
        <w:rPr>
          <w:b/>
          <w:sz w:val="22"/>
          <w:szCs w:val="22"/>
        </w:rPr>
      </w:pPr>
      <w:r w:rsidRPr="00D03566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82FF3" w:rsidRPr="00D03566" w:rsidRDefault="00E82FF3" w:rsidP="00E82FF3">
      <w:pPr>
        <w:jc w:val="both"/>
        <w:rPr>
          <w:sz w:val="22"/>
          <w:szCs w:val="22"/>
        </w:rPr>
      </w:pPr>
    </w:p>
    <w:p w:rsidR="00E82FF3" w:rsidRPr="00D03566" w:rsidRDefault="00E82FF3" w:rsidP="00E82F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E82FF3" w:rsidRPr="00D03566" w:rsidTr="00D03566">
        <w:trPr>
          <w:trHeight w:val="612"/>
        </w:trPr>
        <w:tc>
          <w:tcPr>
            <w:tcW w:w="3510" w:type="dxa"/>
          </w:tcPr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Name (please print)</w:t>
            </w:r>
          </w:p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E82FF3" w:rsidRPr="00D03566" w:rsidRDefault="00E82FF3" w:rsidP="00E61B75">
            <w:pPr>
              <w:jc w:val="both"/>
              <w:rPr>
                <w:b/>
                <w:sz w:val="22"/>
                <w:szCs w:val="22"/>
              </w:rPr>
            </w:pPr>
            <w:r w:rsidRPr="00D03566">
              <w:rPr>
                <w:b/>
                <w:sz w:val="22"/>
                <w:szCs w:val="22"/>
              </w:rPr>
              <w:t>date</w:t>
            </w:r>
          </w:p>
        </w:tc>
      </w:tr>
      <w:tr w:rsidR="00E82FF3" w:rsidRPr="00D03566" w:rsidTr="00E61B75">
        <w:trPr>
          <w:trHeight w:val="679"/>
        </w:trPr>
        <w:tc>
          <w:tcPr>
            <w:tcW w:w="3510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</w:tr>
      <w:tr w:rsidR="00E82FF3" w:rsidRPr="00D03566" w:rsidTr="00E61B75">
        <w:trPr>
          <w:trHeight w:val="679"/>
        </w:trPr>
        <w:tc>
          <w:tcPr>
            <w:tcW w:w="3510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</w:tr>
      <w:tr w:rsidR="00E82FF3" w:rsidRPr="00D03566" w:rsidTr="00E61B75">
        <w:trPr>
          <w:trHeight w:val="680"/>
        </w:trPr>
        <w:tc>
          <w:tcPr>
            <w:tcW w:w="3510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82FF3" w:rsidRPr="00D03566" w:rsidRDefault="00E82FF3" w:rsidP="00E61B75">
            <w:pPr>
              <w:jc w:val="both"/>
              <w:rPr>
                <w:sz w:val="22"/>
                <w:szCs w:val="22"/>
              </w:rPr>
            </w:pPr>
          </w:p>
        </w:tc>
      </w:tr>
      <w:tr w:rsidR="00D03566" w:rsidRPr="00D03566" w:rsidTr="00DE7A12">
        <w:trPr>
          <w:trHeight w:val="680"/>
        </w:trPr>
        <w:tc>
          <w:tcPr>
            <w:tcW w:w="3510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</w:tr>
      <w:tr w:rsidR="00D03566" w:rsidRPr="00D03566" w:rsidTr="00DE7A12">
        <w:trPr>
          <w:trHeight w:val="680"/>
        </w:trPr>
        <w:tc>
          <w:tcPr>
            <w:tcW w:w="3510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</w:tr>
      <w:tr w:rsidR="00D03566" w:rsidRPr="00D03566" w:rsidTr="00DE7A12">
        <w:trPr>
          <w:trHeight w:val="680"/>
        </w:trPr>
        <w:tc>
          <w:tcPr>
            <w:tcW w:w="3510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</w:tr>
      <w:tr w:rsidR="00D03566" w:rsidRPr="00D03566" w:rsidTr="00DE7A12">
        <w:trPr>
          <w:trHeight w:val="680"/>
        </w:trPr>
        <w:tc>
          <w:tcPr>
            <w:tcW w:w="3510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D03566" w:rsidRPr="00D03566" w:rsidRDefault="00D03566" w:rsidP="00DE7A12">
            <w:pPr>
              <w:jc w:val="both"/>
              <w:rPr>
                <w:sz w:val="22"/>
                <w:szCs w:val="22"/>
              </w:rPr>
            </w:pPr>
          </w:p>
        </w:tc>
      </w:tr>
    </w:tbl>
    <w:p w:rsidR="008E66BE" w:rsidRPr="00D03566" w:rsidRDefault="008E66BE" w:rsidP="009C376B">
      <w:pPr>
        <w:rPr>
          <w:sz w:val="22"/>
          <w:szCs w:val="22"/>
        </w:rPr>
      </w:pPr>
    </w:p>
    <w:sectPr w:rsidR="008E66BE" w:rsidRPr="00D03566" w:rsidSect="00976A3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90" w:rsidRDefault="00C97190">
      <w:r>
        <w:separator/>
      </w:r>
    </w:p>
  </w:endnote>
  <w:endnote w:type="continuationSeparator" w:id="0">
    <w:p w:rsidR="00C97190" w:rsidRDefault="00C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90" w:rsidRDefault="00C97190">
      <w:r>
        <w:separator/>
      </w:r>
    </w:p>
  </w:footnote>
  <w:footnote w:type="continuationSeparator" w:id="0">
    <w:p w:rsidR="00C97190" w:rsidRDefault="00C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AF7092A"/>
    <w:multiLevelType w:val="singleLevel"/>
    <w:tmpl w:val="9692E94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FB64E6E"/>
    <w:multiLevelType w:val="singleLevel"/>
    <w:tmpl w:val="1C9E24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912FF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7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113D7"/>
    <w:rsid w:val="00025E76"/>
    <w:rsid w:val="0005133D"/>
    <w:rsid w:val="000915CE"/>
    <w:rsid w:val="000A486F"/>
    <w:rsid w:val="000A501D"/>
    <w:rsid w:val="000B2DE9"/>
    <w:rsid w:val="00144068"/>
    <w:rsid w:val="001A502F"/>
    <w:rsid w:val="001A732B"/>
    <w:rsid w:val="001C5A2C"/>
    <w:rsid w:val="001D5D34"/>
    <w:rsid w:val="001D75FC"/>
    <w:rsid w:val="0020100F"/>
    <w:rsid w:val="00201AA9"/>
    <w:rsid w:val="002D1948"/>
    <w:rsid w:val="002D7ABB"/>
    <w:rsid w:val="00344E08"/>
    <w:rsid w:val="003547E2"/>
    <w:rsid w:val="00364B84"/>
    <w:rsid w:val="0042391D"/>
    <w:rsid w:val="0042461C"/>
    <w:rsid w:val="004A122D"/>
    <w:rsid w:val="00506CF3"/>
    <w:rsid w:val="00510D6C"/>
    <w:rsid w:val="005225C9"/>
    <w:rsid w:val="005361CA"/>
    <w:rsid w:val="005650C7"/>
    <w:rsid w:val="005816CD"/>
    <w:rsid w:val="005C135F"/>
    <w:rsid w:val="005E68E8"/>
    <w:rsid w:val="00677330"/>
    <w:rsid w:val="0069615C"/>
    <w:rsid w:val="00730CDE"/>
    <w:rsid w:val="007804A9"/>
    <w:rsid w:val="007805A7"/>
    <w:rsid w:val="00791668"/>
    <w:rsid w:val="007B0117"/>
    <w:rsid w:val="008139BB"/>
    <w:rsid w:val="00852850"/>
    <w:rsid w:val="00856A77"/>
    <w:rsid w:val="008E66BE"/>
    <w:rsid w:val="008F47E5"/>
    <w:rsid w:val="00945D8B"/>
    <w:rsid w:val="009538CF"/>
    <w:rsid w:val="00964569"/>
    <w:rsid w:val="00976A3D"/>
    <w:rsid w:val="009C376B"/>
    <w:rsid w:val="009E0F87"/>
    <w:rsid w:val="00A56AAC"/>
    <w:rsid w:val="00AE1A75"/>
    <w:rsid w:val="00B35E07"/>
    <w:rsid w:val="00B613A2"/>
    <w:rsid w:val="00B64FC0"/>
    <w:rsid w:val="00BD53AC"/>
    <w:rsid w:val="00C21195"/>
    <w:rsid w:val="00C52193"/>
    <w:rsid w:val="00C66350"/>
    <w:rsid w:val="00C77C7D"/>
    <w:rsid w:val="00C87BC5"/>
    <w:rsid w:val="00C97190"/>
    <w:rsid w:val="00CA2B83"/>
    <w:rsid w:val="00D03566"/>
    <w:rsid w:val="00D15D78"/>
    <w:rsid w:val="00D30F1A"/>
    <w:rsid w:val="00D75F63"/>
    <w:rsid w:val="00DB7477"/>
    <w:rsid w:val="00DE7A12"/>
    <w:rsid w:val="00E01D5E"/>
    <w:rsid w:val="00E3654D"/>
    <w:rsid w:val="00E61B75"/>
    <w:rsid w:val="00E82FF3"/>
    <w:rsid w:val="00EF1B73"/>
    <w:rsid w:val="00F94837"/>
    <w:rsid w:val="00F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2007-02-09T15:00:00Z</cp:lastPrinted>
  <dcterms:created xsi:type="dcterms:W3CDTF">2015-01-30T14:17:00Z</dcterms:created>
  <dcterms:modified xsi:type="dcterms:W3CDTF">2015-01-30T14:17:00Z</dcterms:modified>
</cp:coreProperties>
</file>