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5421D9" w:rsidRDefault="008139BB" w:rsidP="000A2568">
      <w:pPr>
        <w:pStyle w:val="BodyTextIndent"/>
        <w:jc w:val="both"/>
        <w:rPr>
          <w:sz w:val="22"/>
          <w:szCs w:val="22"/>
          <w:u w:val="single"/>
        </w:rPr>
      </w:pPr>
      <w:r w:rsidRPr="005421D9">
        <w:rPr>
          <w:b/>
          <w:sz w:val="22"/>
          <w:szCs w:val="22"/>
          <w:u w:val="single"/>
        </w:rPr>
        <w:t xml:space="preserve">Manchester </w:t>
      </w:r>
      <w:r w:rsidR="00665FBE" w:rsidRPr="005421D9">
        <w:rPr>
          <w:b/>
          <w:sz w:val="22"/>
          <w:szCs w:val="22"/>
          <w:u w:val="single"/>
        </w:rPr>
        <w:t xml:space="preserve">Institute of </w:t>
      </w:r>
      <w:proofErr w:type="gramStart"/>
      <w:r w:rsidR="00665FBE" w:rsidRPr="005421D9">
        <w:rPr>
          <w:b/>
          <w:sz w:val="22"/>
          <w:szCs w:val="22"/>
          <w:u w:val="single"/>
        </w:rPr>
        <w:t>Biotechnology</w:t>
      </w:r>
      <w:r w:rsidRPr="005421D9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5421D9">
        <w:rPr>
          <w:b/>
          <w:bCs/>
          <w:sz w:val="22"/>
          <w:szCs w:val="22"/>
          <w:u w:val="single"/>
        </w:rPr>
        <w:t xml:space="preserve"> </w:t>
      </w:r>
      <w:r w:rsidR="0005133D" w:rsidRPr="005421D9">
        <w:rPr>
          <w:b/>
          <w:bCs/>
          <w:sz w:val="22"/>
          <w:szCs w:val="22"/>
          <w:u w:val="single"/>
        </w:rPr>
        <w:t xml:space="preserve">Risk Assessment </w:t>
      </w:r>
    </w:p>
    <w:p w:rsidR="0005133D" w:rsidRPr="005421D9" w:rsidRDefault="0020100F" w:rsidP="000A2568">
      <w:pPr>
        <w:pStyle w:val="BodyTextIndent"/>
        <w:jc w:val="both"/>
        <w:rPr>
          <w:sz w:val="22"/>
          <w:szCs w:val="22"/>
        </w:rPr>
      </w:pPr>
      <w:r w:rsidRPr="005421D9"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7" o:title="TUOM_4COL"/>
            <w10:wrap anchorx="page" anchory="page"/>
          </v:shape>
        </w:pict>
      </w:r>
    </w:p>
    <w:p w:rsidR="0020100F" w:rsidRPr="005421D9" w:rsidRDefault="0020100F" w:rsidP="000A2568">
      <w:pPr>
        <w:pStyle w:val="BodyTextIndent"/>
        <w:jc w:val="both"/>
        <w:rPr>
          <w:sz w:val="22"/>
          <w:szCs w:val="22"/>
        </w:rPr>
      </w:pPr>
    </w:p>
    <w:tbl>
      <w:tblPr>
        <w:tblW w:w="14109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00" w:firstRow="0" w:lastRow="0" w:firstColumn="0" w:lastColumn="0" w:noHBand="0" w:noVBand="0"/>
      </w:tblPr>
      <w:tblGrid>
        <w:gridCol w:w="1897"/>
        <w:gridCol w:w="3969"/>
        <w:gridCol w:w="3260"/>
        <w:gridCol w:w="2944"/>
        <w:gridCol w:w="2039"/>
      </w:tblGrid>
      <w:tr w:rsidR="00FD7865" w:rsidRPr="005421D9" w:rsidTr="00B41537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  <w:jc w:val="center"/>
        </w:trPr>
        <w:tc>
          <w:tcPr>
            <w:tcW w:w="1897" w:type="dxa"/>
            <w:shd w:val="clear" w:color="auto" w:fill="CCFFFF"/>
          </w:tcPr>
          <w:p w:rsidR="00FD7865" w:rsidRPr="005421D9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Date:</w:t>
            </w:r>
            <w:r w:rsidRPr="005421D9">
              <w:rPr>
                <w:sz w:val="22"/>
                <w:szCs w:val="22"/>
              </w:rPr>
              <w:t xml:space="preserve"> </w:t>
            </w:r>
          </w:p>
          <w:p w:rsidR="00FD7865" w:rsidRPr="005421D9" w:rsidRDefault="00474B99" w:rsidP="000A2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09/12</w:t>
            </w:r>
            <w:r w:rsidR="00E853D0" w:rsidRPr="005421D9">
              <w:rPr>
                <w:sz w:val="22"/>
                <w:szCs w:val="22"/>
              </w:rPr>
              <w:t>/14</w:t>
            </w:r>
          </w:p>
        </w:tc>
        <w:tc>
          <w:tcPr>
            <w:tcW w:w="3969" w:type="dxa"/>
            <w:shd w:val="clear" w:color="auto" w:fill="CCFFFF"/>
          </w:tcPr>
          <w:p w:rsidR="00FD7865" w:rsidRPr="005421D9" w:rsidRDefault="00FD7865" w:rsidP="000A2568">
            <w:pPr>
              <w:jc w:val="both"/>
              <w:rPr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Assessed by</w:t>
            </w:r>
          </w:p>
          <w:p w:rsidR="00FD7865" w:rsidRPr="00B41537" w:rsidRDefault="00E853D0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5421D9">
              <w:rPr>
                <w:sz w:val="22"/>
                <w:szCs w:val="22"/>
              </w:rPr>
              <w:t xml:space="preserve">Dave </w:t>
            </w:r>
            <w:proofErr w:type="spellStart"/>
            <w:r w:rsidRPr="005421D9">
              <w:rPr>
                <w:sz w:val="22"/>
                <w:szCs w:val="22"/>
              </w:rPr>
              <w:t>Charlesworth</w:t>
            </w:r>
            <w:proofErr w:type="spellEnd"/>
            <w:r w:rsidRPr="005421D9">
              <w:rPr>
                <w:sz w:val="22"/>
                <w:szCs w:val="22"/>
              </w:rPr>
              <w:t>/Alan Kniveton</w:t>
            </w:r>
          </w:p>
        </w:tc>
        <w:tc>
          <w:tcPr>
            <w:tcW w:w="3260" w:type="dxa"/>
            <w:shd w:val="clear" w:color="auto" w:fill="CCFFFF"/>
          </w:tcPr>
          <w:p w:rsidR="00FD7865" w:rsidRPr="005421D9" w:rsidRDefault="00FD7865" w:rsidP="000A2568">
            <w:pPr>
              <w:jc w:val="both"/>
              <w:rPr>
                <w:color w:val="FF0000"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Validated by</w:t>
            </w:r>
            <w:r w:rsidRPr="005421D9">
              <w:rPr>
                <w:sz w:val="22"/>
                <w:szCs w:val="22"/>
              </w:rPr>
              <w:t xml:space="preserve">: </w:t>
            </w:r>
          </w:p>
          <w:p w:rsidR="00E853D0" w:rsidRPr="005421D9" w:rsidRDefault="00E853D0" w:rsidP="000A2568">
            <w:pPr>
              <w:jc w:val="both"/>
              <w:rPr>
                <w:sz w:val="22"/>
                <w:szCs w:val="22"/>
              </w:rPr>
            </w:pPr>
            <w:r w:rsidRPr="005421D9">
              <w:rPr>
                <w:sz w:val="22"/>
                <w:szCs w:val="22"/>
              </w:rPr>
              <w:t>Tanya Aspinall</w:t>
            </w:r>
          </w:p>
          <w:p w:rsidR="00FD7865" w:rsidRPr="005421D9" w:rsidRDefault="00FD7865" w:rsidP="000A25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4" w:type="dxa"/>
            <w:shd w:val="clear" w:color="auto" w:fill="CCFFFF"/>
          </w:tcPr>
          <w:p w:rsidR="00FD7865" w:rsidRPr="005421D9" w:rsidRDefault="00FD7865" w:rsidP="005421D9">
            <w:pPr>
              <w:jc w:val="both"/>
              <w:rPr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Location</w:t>
            </w:r>
            <w:r w:rsidRPr="005421D9">
              <w:rPr>
                <w:sz w:val="22"/>
                <w:szCs w:val="22"/>
              </w:rPr>
              <w:t>: MIB</w:t>
            </w:r>
            <w:r w:rsidR="005421D9" w:rsidRPr="005421D9">
              <w:rPr>
                <w:sz w:val="22"/>
                <w:szCs w:val="22"/>
              </w:rPr>
              <w:t xml:space="preserve"> workshops</w:t>
            </w:r>
          </w:p>
        </w:tc>
        <w:tc>
          <w:tcPr>
            <w:tcW w:w="2039" w:type="dxa"/>
            <w:shd w:val="clear" w:color="auto" w:fill="CCFFFF"/>
          </w:tcPr>
          <w:p w:rsidR="00FD7865" w:rsidRPr="005421D9" w:rsidRDefault="00FD7865" w:rsidP="000A2568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 xml:space="preserve">Review date: </w:t>
            </w:r>
          </w:p>
          <w:p w:rsidR="00FD7865" w:rsidRPr="005421D9" w:rsidRDefault="005421D9" w:rsidP="000A2568">
            <w:pPr>
              <w:jc w:val="both"/>
              <w:rPr>
                <w:sz w:val="22"/>
                <w:szCs w:val="22"/>
              </w:rPr>
            </w:pPr>
            <w:r w:rsidRPr="005421D9">
              <w:rPr>
                <w:sz w:val="22"/>
                <w:szCs w:val="22"/>
              </w:rPr>
              <w:t>2017</w:t>
            </w:r>
          </w:p>
        </w:tc>
      </w:tr>
    </w:tbl>
    <w:p w:rsidR="00FD7865" w:rsidRPr="005421D9" w:rsidRDefault="00FD7865">
      <w:pPr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B613A2" w:rsidRPr="005421D9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4175" w:type="dxa"/>
          </w:tcPr>
          <w:p w:rsidR="002D7ABB" w:rsidRPr="005421D9" w:rsidRDefault="00B613A2" w:rsidP="000A2568">
            <w:pPr>
              <w:jc w:val="both"/>
              <w:rPr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Task</w:t>
            </w:r>
            <w:r w:rsidRPr="005421D9">
              <w:rPr>
                <w:sz w:val="22"/>
                <w:szCs w:val="22"/>
              </w:rPr>
              <w:t>:</w:t>
            </w:r>
            <w:r w:rsidR="002D7ABB" w:rsidRPr="005421D9">
              <w:rPr>
                <w:sz w:val="22"/>
                <w:szCs w:val="22"/>
              </w:rPr>
              <w:t xml:space="preserve"> </w:t>
            </w:r>
            <w:r w:rsidR="00CD627B" w:rsidRPr="00CD627B">
              <w:rPr>
                <w:sz w:val="22"/>
                <w:szCs w:val="22"/>
              </w:rPr>
              <w:t xml:space="preserve">The general operation and use of </w:t>
            </w:r>
            <w:r w:rsidR="00474B99">
              <w:rPr>
                <w:sz w:val="22"/>
                <w:szCs w:val="22"/>
              </w:rPr>
              <w:t>workshop grinder</w:t>
            </w:r>
            <w:r w:rsidR="00CD627B" w:rsidRPr="00CD627B">
              <w:rPr>
                <w:sz w:val="22"/>
                <w:szCs w:val="22"/>
              </w:rPr>
              <w:t xml:space="preserve"> for normal operations on general materials within a workshop environment</w:t>
            </w:r>
          </w:p>
          <w:p w:rsidR="0005133D" w:rsidRPr="005421D9" w:rsidRDefault="0005133D" w:rsidP="000A2568">
            <w:pPr>
              <w:jc w:val="both"/>
              <w:rPr>
                <w:sz w:val="22"/>
                <w:szCs w:val="22"/>
              </w:rPr>
            </w:pPr>
          </w:p>
        </w:tc>
      </w:tr>
    </w:tbl>
    <w:p w:rsidR="0020100F" w:rsidRDefault="0020100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1701"/>
        <w:gridCol w:w="7088"/>
        <w:gridCol w:w="850"/>
        <w:gridCol w:w="927"/>
      </w:tblGrid>
      <w:tr w:rsidR="00EF1FE2" w:rsidRPr="00FF0ADC" w:rsidTr="00B41537">
        <w:tc>
          <w:tcPr>
            <w:tcW w:w="1951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b/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1701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b/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701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 xml:space="preserve">Person(s) in danger </w:t>
            </w:r>
          </w:p>
        </w:tc>
        <w:tc>
          <w:tcPr>
            <w:tcW w:w="7088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>Existing measures to control risk</w:t>
            </w:r>
            <w:r w:rsidRPr="00FF0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>Risk rating</w:t>
            </w:r>
            <w:r w:rsidRPr="00FF0A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7" w:type="dxa"/>
            <w:shd w:val="clear" w:color="auto" w:fill="CCFFFF"/>
          </w:tcPr>
          <w:p w:rsidR="00EF1FE2" w:rsidRPr="00FF0ADC" w:rsidRDefault="00EF1FE2" w:rsidP="00FF0ADC">
            <w:pPr>
              <w:jc w:val="both"/>
              <w:rPr>
                <w:b/>
                <w:sz w:val="22"/>
                <w:szCs w:val="22"/>
              </w:rPr>
            </w:pPr>
            <w:r w:rsidRPr="00FF0ADC">
              <w:rPr>
                <w:b/>
                <w:sz w:val="22"/>
                <w:szCs w:val="22"/>
              </w:rPr>
              <w:t>Result</w:t>
            </w:r>
          </w:p>
        </w:tc>
      </w:tr>
      <w:tr w:rsidR="00EF1FE2" w:rsidRPr="00FF0ADC" w:rsidTr="00FF0ADC">
        <w:tc>
          <w:tcPr>
            <w:tcW w:w="1951" w:type="dxa"/>
            <w:shd w:val="clear" w:color="auto" w:fill="auto"/>
          </w:tcPr>
          <w:p w:rsidR="00EF1FE2" w:rsidRPr="00FF0ADC" w:rsidRDefault="00CD627B" w:rsidP="00474B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use of </w:t>
            </w:r>
            <w:r w:rsidR="00474B99">
              <w:rPr>
                <w:sz w:val="22"/>
                <w:szCs w:val="22"/>
              </w:rPr>
              <w:t>workshop grinder</w:t>
            </w:r>
          </w:p>
        </w:tc>
        <w:tc>
          <w:tcPr>
            <w:tcW w:w="1701" w:type="dxa"/>
            <w:shd w:val="clear" w:color="auto" w:fill="auto"/>
          </w:tcPr>
          <w:p w:rsidR="00EF1FE2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Entrapment</w:t>
            </w:r>
          </w:p>
          <w:p w:rsidR="00CD627B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Entanglement</w:t>
            </w:r>
          </w:p>
          <w:p w:rsidR="00CD627B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Abrasions</w:t>
            </w:r>
          </w:p>
          <w:p w:rsidR="00474B99" w:rsidRDefault="00474B99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Friction burns</w:t>
            </w:r>
          </w:p>
          <w:p w:rsidR="003E47A3" w:rsidRDefault="003E47A3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Burning</w:t>
            </w:r>
          </w:p>
          <w:p w:rsidR="00CD627B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Traps</w:t>
            </w:r>
          </w:p>
          <w:p w:rsidR="00CD627B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Electrical </w:t>
            </w:r>
          </w:p>
          <w:p w:rsidR="00CD627B" w:rsidRPr="00FF0ADC" w:rsidRDefault="00CD627B" w:rsidP="00FF0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F1FE2" w:rsidRPr="00FF0ADC" w:rsidRDefault="00CD627B" w:rsidP="00FF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User and those in close proximity</w:t>
            </w:r>
          </w:p>
        </w:tc>
        <w:tc>
          <w:tcPr>
            <w:tcW w:w="7088" w:type="dxa"/>
            <w:shd w:val="clear" w:color="auto" w:fill="auto"/>
          </w:tcPr>
          <w:p w:rsidR="00CE2C5F" w:rsidRDefault="00CD627B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Guarding: </w:t>
            </w:r>
            <w:r w:rsidRPr="00CD627B">
              <w:rPr>
                <w:sz w:val="22"/>
                <w:szCs w:val="22"/>
              </w:rPr>
              <w:t xml:space="preserve"> guarding </w:t>
            </w:r>
            <w:r>
              <w:rPr>
                <w:sz w:val="22"/>
                <w:szCs w:val="22"/>
              </w:rPr>
              <w:t>is</w:t>
            </w:r>
            <w:r w:rsidRPr="00CD627B">
              <w:rPr>
                <w:sz w:val="22"/>
                <w:szCs w:val="22"/>
              </w:rPr>
              <w:t xml:space="preserve"> used to pr</w:t>
            </w:r>
            <w:r>
              <w:rPr>
                <w:sz w:val="22"/>
                <w:szCs w:val="22"/>
              </w:rPr>
              <w:t xml:space="preserve">otect the operator from </w:t>
            </w:r>
            <w:proofErr w:type="spellStart"/>
            <w:r>
              <w:rPr>
                <w:sz w:val="22"/>
                <w:szCs w:val="22"/>
              </w:rPr>
              <w:t>swarf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CD627B">
              <w:rPr>
                <w:sz w:val="22"/>
                <w:szCs w:val="22"/>
              </w:rPr>
              <w:t>ejected components</w:t>
            </w:r>
            <w:r>
              <w:rPr>
                <w:sz w:val="22"/>
                <w:szCs w:val="22"/>
              </w:rPr>
              <w:t xml:space="preserve"> and moving parts of the </w:t>
            </w:r>
            <w:r w:rsidR="003E47A3">
              <w:rPr>
                <w:sz w:val="22"/>
                <w:szCs w:val="22"/>
              </w:rPr>
              <w:t>grinder</w:t>
            </w:r>
            <w:r>
              <w:rPr>
                <w:sz w:val="22"/>
                <w:szCs w:val="22"/>
              </w:rPr>
              <w:t>.</w:t>
            </w: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Maintenance: </w:t>
            </w:r>
            <w:r w:rsidRPr="00CD627B">
              <w:rPr>
                <w:sz w:val="22"/>
                <w:szCs w:val="22"/>
              </w:rPr>
              <w:t>The equipment is operated on a breakdown maintenance scheme; no regular servicing is carried out. Only competent engineers are permitted to repair the equipment</w:t>
            </w: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Pre-use check by user to ensure the machine is in good working order with no obvious visual faults. Any defects are reported to the Workshop Manager.</w:t>
            </w: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Equipment controls: </w:t>
            </w:r>
            <w:r w:rsidRPr="00CD627B">
              <w:rPr>
                <w:sz w:val="22"/>
                <w:szCs w:val="22"/>
              </w:rPr>
              <w:t xml:space="preserve">All equipment controls are clearly identified and all </w:t>
            </w:r>
            <w:r>
              <w:rPr>
                <w:sz w:val="22"/>
                <w:szCs w:val="22"/>
              </w:rPr>
              <w:t>users</w:t>
            </w:r>
            <w:r w:rsidRPr="00CD627B">
              <w:rPr>
                <w:sz w:val="22"/>
                <w:szCs w:val="22"/>
              </w:rPr>
              <w:t xml:space="preserve"> are familiar with the operation of the machine.</w:t>
            </w:r>
          </w:p>
          <w:p w:rsidR="00CD627B" w:rsidRDefault="00CD627B" w:rsidP="00CD627B">
            <w:pPr>
              <w:jc w:val="both"/>
              <w:rPr>
                <w:sz w:val="22"/>
                <w:szCs w:val="22"/>
              </w:rPr>
            </w:pPr>
          </w:p>
          <w:p w:rsidR="00B41537" w:rsidRDefault="00B41537" w:rsidP="00B41537">
            <w:pPr>
              <w:jc w:val="both"/>
              <w:rPr>
                <w:rFonts w:eastAsia="Calibri"/>
                <w:sz w:val="22"/>
                <w:szCs w:val="22"/>
              </w:rPr>
            </w:pPr>
            <w:r w:rsidRPr="00B41537">
              <w:rPr>
                <w:rFonts w:eastAsia="Calibri"/>
                <w:sz w:val="22"/>
                <w:szCs w:val="22"/>
              </w:rPr>
              <w:t>The following items of PPE must be worn: Howie-style laboratory coat, and BS EN166 compliant eye protection (chemical splash proof safety glasses). A selection of safety glasses and goggles are available from MIB Stores; users are advised to visit Stores and select eye protection which fits well and is comfortable to use. Regular lab inspections monitor the wearing of PPE; users found not to be wearing PPE when the risk assessment states that it must be worn will be subject to the MIB compliance policy.</w:t>
            </w:r>
          </w:p>
          <w:p w:rsidR="00B41537" w:rsidRPr="00B41537" w:rsidRDefault="00B41537" w:rsidP="00B41537">
            <w:pPr>
              <w:jc w:val="both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  <w:p w:rsidR="00CD627B" w:rsidRDefault="00873E18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loose clothing must be worn, and long hair must be secured to </w:t>
            </w:r>
            <w:r>
              <w:rPr>
                <w:sz w:val="22"/>
                <w:szCs w:val="22"/>
              </w:rPr>
              <w:lastRenderedPageBreak/>
              <w:t>prevent entanglement in the machinery.</w:t>
            </w:r>
          </w:p>
          <w:p w:rsidR="00FB20CB" w:rsidRDefault="00FB20CB" w:rsidP="00CD627B">
            <w:pPr>
              <w:jc w:val="both"/>
              <w:rPr>
                <w:sz w:val="22"/>
                <w:szCs w:val="22"/>
              </w:rPr>
            </w:pPr>
          </w:p>
          <w:p w:rsidR="00873E18" w:rsidRDefault="00FB20CB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users must be trained and competent to use the equipment.</w:t>
            </w:r>
          </w:p>
          <w:p w:rsidR="00FB20CB" w:rsidRDefault="00FB20CB" w:rsidP="00CD627B">
            <w:pPr>
              <w:jc w:val="both"/>
              <w:rPr>
                <w:sz w:val="22"/>
                <w:szCs w:val="22"/>
              </w:rPr>
            </w:pPr>
          </w:p>
          <w:p w:rsidR="00873E18" w:rsidRDefault="00873E18" w:rsidP="00CD62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Emergency stops control: a </w:t>
            </w:r>
            <w:r w:rsidR="003E47A3">
              <w:rPr>
                <w:sz w:val="22"/>
                <w:szCs w:val="22"/>
              </w:rPr>
              <w:t>hand</w:t>
            </w:r>
            <w:r>
              <w:rPr>
                <w:sz w:val="22"/>
                <w:szCs w:val="22"/>
              </w:rPr>
              <w:t xml:space="preserve"> operated emergency stop </w:t>
            </w:r>
            <w:r w:rsidR="003E47A3">
              <w:rPr>
                <w:sz w:val="22"/>
                <w:szCs w:val="22"/>
              </w:rPr>
              <w:t xml:space="preserve">(red mushroom button) </w:t>
            </w:r>
            <w:r>
              <w:rPr>
                <w:sz w:val="22"/>
                <w:szCs w:val="22"/>
              </w:rPr>
              <w:t>is used on this equipment. This must be tested before use. If the emergency stop is found to be faulty, the machine must not be used until repairs have been completed.</w:t>
            </w:r>
          </w:p>
          <w:p w:rsidR="00873E18" w:rsidRDefault="00873E18" w:rsidP="00CD627B">
            <w:pPr>
              <w:jc w:val="both"/>
              <w:rPr>
                <w:sz w:val="22"/>
                <w:szCs w:val="22"/>
              </w:rPr>
            </w:pPr>
          </w:p>
          <w:p w:rsidR="00873E18" w:rsidRDefault="00873E18" w:rsidP="00CD627B">
            <w:pPr>
              <w:jc w:val="both"/>
              <w:rPr>
                <w:sz w:val="22"/>
                <w:szCs w:val="22"/>
              </w:rPr>
            </w:pPr>
            <w:r w:rsidRPr="00873E18">
              <w:rPr>
                <w:sz w:val="22"/>
                <w:szCs w:val="22"/>
              </w:rPr>
              <w:t>During maintenance</w:t>
            </w:r>
            <w:r>
              <w:rPr>
                <w:sz w:val="22"/>
                <w:szCs w:val="22"/>
              </w:rPr>
              <w:t xml:space="preserve"> or repair activities, </w:t>
            </w:r>
            <w:r w:rsidRPr="00873E18">
              <w:rPr>
                <w:sz w:val="22"/>
                <w:szCs w:val="22"/>
              </w:rPr>
              <w:t xml:space="preserve">the equipment </w:t>
            </w:r>
            <w:r>
              <w:rPr>
                <w:sz w:val="22"/>
                <w:szCs w:val="22"/>
              </w:rPr>
              <w:t>must be disconnected from the electrical supply.</w:t>
            </w:r>
          </w:p>
          <w:p w:rsidR="00FB20CB" w:rsidRDefault="00FB20CB" w:rsidP="00873E18">
            <w:pPr>
              <w:jc w:val="both"/>
              <w:rPr>
                <w:sz w:val="22"/>
                <w:szCs w:val="22"/>
              </w:rPr>
            </w:pPr>
          </w:p>
          <w:p w:rsidR="00FB20CB" w:rsidRDefault="00FB20CB" w:rsidP="003E4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3E47A3">
              <w:rPr>
                <w:sz w:val="22"/>
                <w:szCs w:val="22"/>
              </w:rPr>
              <w:t>grinder</w:t>
            </w:r>
            <w:r>
              <w:rPr>
                <w:sz w:val="22"/>
                <w:szCs w:val="22"/>
              </w:rPr>
              <w:t xml:space="preserve"> is regularly PAT tested to ensure electrical safety.</w:t>
            </w:r>
          </w:p>
          <w:p w:rsidR="003E47A3" w:rsidRDefault="003E47A3" w:rsidP="003E47A3">
            <w:pPr>
              <w:jc w:val="both"/>
              <w:rPr>
                <w:sz w:val="22"/>
                <w:szCs w:val="22"/>
              </w:rPr>
            </w:pPr>
          </w:p>
          <w:p w:rsidR="003E47A3" w:rsidRPr="00FF0ADC" w:rsidRDefault="003E47A3" w:rsidP="003E4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suitable sized water container must be available for cooling materials which have been used on the grinder.</w:t>
            </w:r>
          </w:p>
        </w:tc>
        <w:tc>
          <w:tcPr>
            <w:tcW w:w="850" w:type="dxa"/>
            <w:shd w:val="clear" w:color="auto" w:fill="auto"/>
          </w:tcPr>
          <w:p w:rsidR="00EF1FE2" w:rsidRPr="00FF0ADC" w:rsidRDefault="00EF1FE2" w:rsidP="00FF0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:rsidR="00EF1FE2" w:rsidRPr="00FF0ADC" w:rsidRDefault="00EF1FE2" w:rsidP="00FF0ADC">
            <w:pPr>
              <w:jc w:val="both"/>
              <w:rPr>
                <w:sz w:val="22"/>
                <w:szCs w:val="22"/>
              </w:rPr>
            </w:pPr>
          </w:p>
        </w:tc>
      </w:tr>
    </w:tbl>
    <w:p w:rsidR="005816CD" w:rsidRPr="005421D9" w:rsidRDefault="005816CD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8"/>
      </w:tblGrid>
      <w:tr w:rsidR="005816CD" w:rsidRPr="005421D9" w:rsidTr="00FA3DC0">
        <w:trPr>
          <w:trHeight w:val="577"/>
        </w:trPr>
        <w:tc>
          <w:tcPr>
            <w:tcW w:w="14218" w:type="dxa"/>
          </w:tcPr>
          <w:p w:rsidR="000A2568" w:rsidRPr="005421D9" w:rsidRDefault="000A2568" w:rsidP="00FA3DC0">
            <w:pPr>
              <w:jc w:val="both"/>
              <w:rPr>
                <w:color w:val="FF0000"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  <w:u w:val="single"/>
              </w:rPr>
              <w:t>Authorisation</w:t>
            </w:r>
            <w:r w:rsidR="005816CD" w:rsidRPr="005421D9">
              <w:rPr>
                <w:b/>
                <w:sz w:val="22"/>
                <w:szCs w:val="22"/>
                <w:u w:val="single"/>
              </w:rPr>
              <w:t xml:space="preserve"> </w:t>
            </w:r>
            <w:r w:rsidR="003847F9" w:rsidRPr="005421D9">
              <w:rPr>
                <w:b/>
                <w:sz w:val="22"/>
                <w:szCs w:val="22"/>
                <w:u w:val="single"/>
              </w:rPr>
              <w:t xml:space="preserve"> by </w:t>
            </w:r>
            <w:r w:rsidR="005421D9" w:rsidRPr="005421D9">
              <w:rPr>
                <w:b/>
                <w:sz w:val="22"/>
                <w:szCs w:val="22"/>
                <w:u w:val="single"/>
              </w:rPr>
              <w:t>Facility Manager</w:t>
            </w:r>
            <w:r w:rsidR="003847F9" w:rsidRPr="005421D9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847F9" w:rsidRPr="005421D9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0A2568" w:rsidRPr="005421D9" w:rsidRDefault="000A2568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 xml:space="preserve">I confirm that I have considered and understand the </w:t>
            </w:r>
            <w:r w:rsidR="00FD7865" w:rsidRPr="005421D9">
              <w:rPr>
                <w:b/>
                <w:sz w:val="22"/>
                <w:szCs w:val="22"/>
              </w:rPr>
              <w:t>hazards</w:t>
            </w:r>
            <w:r w:rsidR="005421D9">
              <w:rPr>
                <w:b/>
                <w:sz w:val="22"/>
                <w:szCs w:val="22"/>
              </w:rPr>
              <w:t xml:space="preserve"> associated with use of this equipment</w:t>
            </w:r>
            <w:r w:rsidR="00FD7865" w:rsidRPr="005421D9">
              <w:rPr>
                <w:b/>
                <w:sz w:val="22"/>
                <w:szCs w:val="22"/>
              </w:rPr>
              <w:t xml:space="preserve">. I am satisfied that all of the hazards have been identified and that the control measures to be followed will reduce the risks to acceptable levels. </w:t>
            </w:r>
          </w:p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5421D9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 xml:space="preserve">Print name:                                                                   </w:t>
            </w:r>
            <w:r w:rsidR="00FD7865" w:rsidRPr="005421D9">
              <w:rPr>
                <w:b/>
                <w:sz w:val="22"/>
                <w:szCs w:val="22"/>
              </w:rPr>
              <w:t xml:space="preserve">               </w:t>
            </w:r>
            <w:r w:rsidRPr="005421D9">
              <w:rPr>
                <w:b/>
                <w:sz w:val="22"/>
                <w:szCs w:val="22"/>
              </w:rPr>
              <w:t>Signed:</w:t>
            </w:r>
          </w:p>
          <w:p w:rsidR="003847F9" w:rsidRPr="005421D9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  <w:p w:rsidR="003847F9" w:rsidRPr="005421D9" w:rsidRDefault="003847F9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Date:</w:t>
            </w:r>
          </w:p>
          <w:p w:rsidR="003847F9" w:rsidRPr="005421D9" w:rsidRDefault="003847F9" w:rsidP="00FA3DC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421D9" w:rsidRDefault="005421D9" w:rsidP="000A2568">
      <w:pPr>
        <w:jc w:val="both"/>
        <w:rPr>
          <w:b/>
          <w:sz w:val="22"/>
          <w:szCs w:val="22"/>
          <w:u w:val="single"/>
        </w:rPr>
      </w:pPr>
    </w:p>
    <w:p w:rsidR="00682F29" w:rsidRPr="00D93B19" w:rsidRDefault="00682F29" w:rsidP="00682F29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researcher</w:t>
      </w:r>
    </w:p>
    <w:p w:rsidR="00682F29" w:rsidRPr="00D93B19" w:rsidRDefault="00682F29" w:rsidP="00682F29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I have read this Risk Assessment and that I understand the hazards and risks involved and will follow all of the safety procedures stated</w:t>
      </w:r>
      <w:r w:rsidRPr="00AA36B0">
        <w:rPr>
          <w:b/>
          <w:sz w:val="22"/>
          <w:szCs w:val="22"/>
        </w:rPr>
        <w:t>. Where PPE has been identified as a control measure, I will ensure that it is worn.</w:t>
      </w:r>
    </w:p>
    <w:p w:rsidR="0064739F" w:rsidRPr="005421D9" w:rsidRDefault="0064739F" w:rsidP="0064739F">
      <w:pPr>
        <w:jc w:val="both"/>
        <w:rPr>
          <w:b/>
          <w:sz w:val="22"/>
          <w:szCs w:val="22"/>
          <w:u w:val="single"/>
        </w:rPr>
      </w:pPr>
    </w:p>
    <w:p w:rsidR="0064739F" w:rsidRPr="005421D9" w:rsidRDefault="0064739F" w:rsidP="0064739F">
      <w:pPr>
        <w:jc w:val="both"/>
        <w:rPr>
          <w:sz w:val="22"/>
          <w:szCs w:val="22"/>
        </w:rPr>
      </w:pPr>
      <w:r w:rsidRPr="005421D9">
        <w:rPr>
          <w:b/>
          <w:sz w:val="22"/>
          <w:szCs w:val="22"/>
          <w:u w:val="single"/>
        </w:rPr>
        <w:t xml:space="preserve">Declaration by </w:t>
      </w:r>
      <w:r w:rsidR="005421D9">
        <w:rPr>
          <w:b/>
          <w:sz w:val="22"/>
          <w:szCs w:val="22"/>
          <w:u w:val="single"/>
        </w:rPr>
        <w:t>Facility Man</w:t>
      </w:r>
      <w:r w:rsidR="003E47A3">
        <w:rPr>
          <w:b/>
          <w:sz w:val="22"/>
          <w:szCs w:val="22"/>
          <w:u w:val="single"/>
        </w:rPr>
        <w:t>ager</w:t>
      </w:r>
    </w:p>
    <w:p w:rsidR="000A2568" w:rsidRPr="005421D9" w:rsidRDefault="000A2568" w:rsidP="000A2568">
      <w:pPr>
        <w:jc w:val="both"/>
        <w:rPr>
          <w:sz w:val="22"/>
          <w:szCs w:val="22"/>
        </w:rPr>
      </w:pPr>
    </w:p>
    <w:p w:rsidR="0064739F" w:rsidRPr="005421D9" w:rsidRDefault="0064739F" w:rsidP="0064739F">
      <w:pPr>
        <w:jc w:val="both"/>
        <w:rPr>
          <w:b/>
          <w:sz w:val="22"/>
          <w:szCs w:val="22"/>
        </w:rPr>
      </w:pPr>
      <w:r w:rsidRPr="005421D9">
        <w:rPr>
          <w:b/>
          <w:sz w:val="22"/>
          <w:szCs w:val="22"/>
        </w:rPr>
        <w:t xml:space="preserve">I confirm that the </w:t>
      </w:r>
      <w:r w:rsidR="005421D9">
        <w:rPr>
          <w:b/>
          <w:sz w:val="22"/>
          <w:szCs w:val="22"/>
        </w:rPr>
        <w:t>person</w:t>
      </w:r>
      <w:r w:rsidRPr="005421D9">
        <w:rPr>
          <w:b/>
          <w:sz w:val="22"/>
          <w:szCs w:val="22"/>
        </w:rPr>
        <w:t xml:space="preserve"> who has signed below is competent to undertake the work. My counter-signature indicates that I am happy for the work to proceed.</w:t>
      </w:r>
    </w:p>
    <w:p w:rsidR="0064739F" w:rsidRPr="005421D9" w:rsidRDefault="0064739F" w:rsidP="000A2568">
      <w:pPr>
        <w:jc w:val="both"/>
        <w:rPr>
          <w:sz w:val="22"/>
          <w:szCs w:val="22"/>
        </w:rPr>
      </w:pPr>
    </w:p>
    <w:p w:rsidR="0064739F" w:rsidRPr="005421D9" w:rsidRDefault="0064739F" w:rsidP="000A256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64739F" w:rsidRPr="005421D9" w:rsidTr="00FA3DC0"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Name (please print)</w:t>
            </w:r>
          </w:p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signed</w:t>
            </w: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 xml:space="preserve">PI </w:t>
            </w:r>
            <w:r w:rsidR="009154E8" w:rsidRPr="005421D9">
              <w:rPr>
                <w:b/>
                <w:sz w:val="22"/>
                <w:szCs w:val="22"/>
              </w:rPr>
              <w:t>countersignature</w:t>
            </w: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b/>
                <w:sz w:val="22"/>
                <w:szCs w:val="22"/>
              </w:rPr>
            </w:pPr>
            <w:r w:rsidRPr="005421D9">
              <w:rPr>
                <w:b/>
                <w:sz w:val="22"/>
                <w:szCs w:val="22"/>
              </w:rPr>
              <w:t>date</w:t>
            </w:r>
          </w:p>
        </w:tc>
      </w:tr>
      <w:tr w:rsidR="0064739F" w:rsidRPr="005421D9" w:rsidTr="00FA3DC0">
        <w:trPr>
          <w:trHeight w:val="679"/>
        </w:trPr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421D9" w:rsidTr="00FA3DC0">
        <w:trPr>
          <w:trHeight w:val="679"/>
        </w:trPr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421D9" w:rsidTr="00FA3DC0">
        <w:trPr>
          <w:trHeight w:val="680"/>
        </w:trPr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421D9" w:rsidTr="00FA3DC0">
        <w:trPr>
          <w:trHeight w:val="680"/>
        </w:trPr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  <w:tr w:rsidR="0064739F" w:rsidRPr="005421D9" w:rsidTr="00FA3DC0">
        <w:trPr>
          <w:trHeight w:val="680"/>
        </w:trPr>
        <w:tc>
          <w:tcPr>
            <w:tcW w:w="3510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64739F" w:rsidRPr="005421D9" w:rsidRDefault="0064739F" w:rsidP="00FA3DC0">
            <w:pPr>
              <w:jc w:val="both"/>
              <w:rPr>
                <w:sz w:val="22"/>
                <w:szCs w:val="22"/>
              </w:rPr>
            </w:pPr>
          </w:p>
        </w:tc>
      </w:tr>
    </w:tbl>
    <w:p w:rsidR="00C66350" w:rsidRPr="005421D9" w:rsidRDefault="00C66350" w:rsidP="000A2568">
      <w:pPr>
        <w:jc w:val="both"/>
        <w:rPr>
          <w:sz w:val="22"/>
          <w:szCs w:val="22"/>
        </w:rPr>
        <w:sectPr w:rsidR="00C66350" w:rsidRPr="005421D9" w:rsidSect="0005133D">
          <w:pgSz w:w="16838" w:h="11906" w:orient="landscape" w:code="9"/>
          <w:pgMar w:top="1418" w:right="1418" w:bottom="1134" w:left="1418" w:header="709" w:footer="709" w:gutter="0"/>
          <w:cols w:space="708"/>
          <w:docGrid w:linePitch="360"/>
        </w:sectPr>
      </w:pPr>
    </w:p>
    <w:p w:rsidR="00E01D5E" w:rsidRPr="005421D9" w:rsidRDefault="00E01D5E" w:rsidP="001E02F1">
      <w:pPr>
        <w:tabs>
          <w:tab w:val="num" w:pos="567"/>
        </w:tabs>
        <w:jc w:val="both"/>
        <w:rPr>
          <w:sz w:val="22"/>
          <w:szCs w:val="22"/>
        </w:rPr>
      </w:pPr>
    </w:p>
    <w:sectPr w:rsidR="00E01D5E" w:rsidRPr="005421D9" w:rsidSect="00D75F6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6B" w:rsidRDefault="00C3276B">
      <w:r>
        <w:separator/>
      </w:r>
    </w:p>
  </w:endnote>
  <w:endnote w:type="continuationSeparator" w:id="0">
    <w:p w:rsidR="00C3276B" w:rsidRDefault="00C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6B" w:rsidRDefault="00C3276B">
      <w:r>
        <w:separator/>
      </w:r>
    </w:p>
  </w:footnote>
  <w:footnote w:type="continuationSeparator" w:id="0">
    <w:p w:rsidR="00C3276B" w:rsidRDefault="00C3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FC"/>
    <w:multiLevelType w:val="hybridMultilevel"/>
    <w:tmpl w:val="4718E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3D9D"/>
    <w:rsid w:val="000113D7"/>
    <w:rsid w:val="00025E76"/>
    <w:rsid w:val="0005133D"/>
    <w:rsid w:val="000667C3"/>
    <w:rsid w:val="000A2568"/>
    <w:rsid w:val="000A486F"/>
    <w:rsid w:val="000A501D"/>
    <w:rsid w:val="000A6E87"/>
    <w:rsid w:val="000B2DE9"/>
    <w:rsid w:val="00127084"/>
    <w:rsid w:val="001858B9"/>
    <w:rsid w:val="001D5D34"/>
    <w:rsid w:val="001D75FC"/>
    <w:rsid w:val="001E02F1"/>
    <w:rsid w:val="0020100F"/>
    <w:rsid w:val="002A200C"/>
    <w:rsid w:val="002D7ABB"/>
    <w:rsid w:val="003500D5"/>
    <w:rsid w:val="00364B84"/>
    <w:rsid w:val="003847F9"/>
    <w:rsid w:val="003E47A3"/>
    <w:rsid w:val="00474B99"/>
    <w:rsid w:val="00486483"/>
    <w:rsid w:val="004E20DD"/>
    <w:rsid w:val="004E33B8"/>
    <w:rsid w:val="00510D6C"/>
    <w:rsid w:val="005225C9"/>
    <w:rsid w:val="005421D9"/>
    <w:rsid w:val="005650C7"/>
    <w:rsid w:val="005816CD"/>
    <w:rsid w:val="00593D36"/>
    <w:rsid w:val="005C135F"/>
    <w:rsid w:val="005E68E8"/>
    <w:rsid w:val="0061312F"/>
    <w:rsid w:val="0064739F"/>
    <w:rsid w:val="00665FBE"/>
    <w:rsid w:val="0067291A"/>
    <w:rsid w:val="00682F29"/>
    <w:rsid w:val="00690FCB"/>
    <w:rsid w:val="00791668"/>
    <w:rsid w:val="008139BB"/>
    <w:rsid w:val="008257CA"/>
    <w:rsid w:val="00856A77"/>
    <w:rsid w:val="00873E18"/>
    <w:rsid w:val="00882888"/>
    <w:rsid w:val="008F47E5"/>
    <w:rsid w:val="009154E8"/>
    <w:rsid w:val="00945D8B"/>
    <w:rsid w:val="009538CF"/>
    <w:rsid w:val="00964569"/>
    <w:rsid w:val="009B5F67"/>
    <w:rsid w:val="009E0F87"/>
    <w:rsid w:val="009F0C43"/>
    <w:rsid w:val="00AE1A75"/>
    <w:rsid w:val="00B35E07"/>
    <w:rsid w:val="00B41537"/>
    <w:rsid w:val="00B55FDE"/>
    <w:rsid w:val="00B613A2"/>
    <w:rsid w:val="00BD53AC"/>
    <w:rsid w:val="00C3276B"/>
    <w:rsid w:val="00C66350"/>
    <w:rsid w:val="00C74CA7"/>
    <w:rsid w:val="00CA2B83"/>
    <w:rsid w:val="00CD6276"/>
    <w:rsid w:val="00CD627B"/>
    <w:rsid w:val="00CE2C5F"/>
    <w:rsid w:val="00D15D78"/>
    <w:rsid w:val="00D30F1A"/>
    <w:rsid w:val="00D75F63"/>
    <w:rsid w:val="00DB7477"/>
    <w:rsid w:val="00E01D5E"/>
    <w:rsid w:val="00E3654D"/>
    <w:rsid w:val="00E853D0"/>
    <w:rsid w:val="00EF1FE2"/>
    <w:rsid w:val="00F443A5"/>
    <w:rsid w:val="00FA3DC0"/>
    <w:rsid w:val="00FB20CB"/>
    <w:rsid w:val="00FD7865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2008-11-13T09:31:00Z</cp:lastPrinted>
  <dcterms:created xsi:type="dcterms:W3CDTF">2015-01-29T15:41:00Z</dcterms:created>
  <dcterms:modified xsi:type="dcterms:W3CDTF">2015-01-29T15:41:00Z</dcterms:modified>
</cp:coreProperties>
</file>