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862C8" w:rsidRPr="00B435F3" w:rsidRDefault="006862C8" w:rsidP="00405B81">
      <w:pPr>
        <w:pStyle w:val="BodyTextIndent"/>
        <w:jc w:val="both"/>
        <w:rPr>
          <w:b/>
          <w:bCs/>
          <w:sz w:val="22"/>
          <w:szCs w:val="22"/>
          <w:u w:val="single"/>
        </w:rPr>
      </w:pPr>
      <w:r w:rsidRPr="00B435F3">
        <w:rPr>
          <w:b/>
          <w:sz w:val="22"/>
          <w:szCs w:val="22"/>
          <w:u w:val="single"/>
        </w:rPr>
        <w:t xml:space="preserve">Manchester Institute of </w:t>
      </w:r>
      <w:proofErr w:type="gramStart"/>
      <w:r w:rsidRPr="00B435F3">
        <w:rPr>
          <w:b/>
          <w:sz w:val="22"/>
          <w:szCs w:val="22"/>
          <w:u w:val="single"/>
        </w:rPr>
        <w:t>Biotechnology</w:t>
      </w:r>
      <w:r w:rsidRPr="00B435F3">
        <w:rPr>
          <w:b/>
          <w:bCs/>
          <w:sz w:val="22"/>
          <w:szCs w:val="22"/>
          <w:u w:val="single"/>
        </w:rPr>
        <w:t xml:space="preserve">  -</w:t>
      </w:r>
      <w:proofErr w:type="gramEnd"/>
      <w:r w:rsidRPr="00B435F3">
        <w:rPr>
          <w:b/>
          <w:bCs/>
          <w:sz w:val="22"/>
          <w:szCs w:val="22"/>
          <w:u w:val="single"/>
        </w:rPr>
        <w:t xml:space="preserve"> Risk Assessment Form</w:t>
      </w:r>
    </w:p>
    <w:p w:rsidR="006862C8" w:rsidRPr="00B435F3" w:rsidRDefault="00A866DF" w:rsidP="00405B81">
      <w:pPr>
        <w:pStyle w:val="BodyTextIndent"/>
        <w:jc w:val="both"/>
        <w:rPr>
          <w:sz w:val="22"/>
          <w:szCs w:val="22"/>
          <w:lang w:val="en-US"/>
        </w:rPr>
      </w:pPr>
      <w:r w:rsidRPr="00B435F3">
        <w:rPr>
          <w:noProof/>
          <w:sz w:val="22"/>
          <w:szCs w:val="22"/>
          <w:lang w:eastAsia="en-GB"/>
        </w:rPr>
        <w:drawing>
          <wp:anchor distT="0" distB="0" distL="114935" distR="114935" simplePos="0" relativeHeight="251657728" behindDoc="1" locked="0" layoutInCell="1" allowOverlap="1" wp14:anchorId="5D045B31" wp14:editId="0B2B5E9D">
            <wp:simplePos x="0" y="0"/>
            <wp:positionH relativeFrom="page">
              <wp:posOffset>203200</wp:posOffset>
            </wp:positionH>
            <wp:positionV relativeFrom="page">
              <wp:posOffset>190500</wp:posOffset>
            </wp:positionV>
            <wp:extent cx="1115060" cy="107251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060" cy="1072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862C8" w:rsidRPr="00B435F3" w:rsidRDefault="006862C8" w:rsidP="00405B81">
      <w:pPr>
        <w:pStyle w:val="BodyTextIndent"/>
        <w:jc w:val="both"/>
        <w:rPr>
          <w:sz w:val="22"/>
          <w:szCs w:val="22"/>
        </w:rPr>
      </w:pPr>
    </w:p>
    <w:tbl>
      <w:tblPr>
        <w:tblW w:w="0" w:type="auto"/>
        <w:tblInd w:w="-34" w:type="dxa"/>
        <w:tblLayout w:type="fixed"/>
        <w:tblLook w:val="0000" w:firstRow="0" w:lastRow="0" w:firstColumn="0" w:lastColumn="0" w:noHBand="0" w:noVBand="0"/>
      </w:tblPr>
      <w:tblGrid>
        <w:gridCol w:w="1647"/>
        <w:gridCol w:w="2285"/>
        <w:gridCol w:w="2472"/>
        <w:gridCol w:w="3082"/>
        <w:gridCol w:w="2650"/>
        <w:gridCol w:w="2059"/>
      </w:tblGrid>
      <w:tr w:rsidR="006862C8" w:rsidRPr="00B435F3" w:rsidTr="00A866DF">
        <w:trPr>
          <w:cantSplit/>
          <w:trHeight w:val="647"/>
          <w:tblHeader/>
        </w:trPr>
        <w:tc>
          <w:tcPr>
            <w:tcW w:w="1647" w:type="dxa"/>
            <w:tcBorders>
              <w:top w:val="single" w:sz="4" w:space="0" w:color="000000"/>
              <w:left w:val="single" w:sz="4" w:space="0" w:color="000000"/>
              <w:bottom w:val="single" w:sz="4" w:space="0" w:color="000000"/>
            </w:tcBorders>
            <w:shd w:val="clear" w:color="auto" w:fill="CCFFFF"/>
          </w:tcPr>
          <w:p w:rsidR="005E04D4" w:rsidRPr="00B435F3" w:rsidRDefault="006862C8" w:rsidP="00405B81">
            <w:pPr>
              <w:snapToGrid w:val="0"/>
              <w:jc w:val="both"/>
              <w:rPr>
                <w:sz w:val="22"/>
                <w:szCs w:val="22"/>
              </w:rPr>
            </w:pPr>
            <w:r w:rsidRPr="00B435F3">
              <w:rPr>
                <w:b/>
                <w:sz w:val="22"/>
                <w:szCs w:val="22"/>
              </w:rPr>
              <w:t>Date:</w:t>
            </w:r>
            <w:r w:rsidRPr="00B435F3">
              <w:rPr>
                <w:sz w:val="22"/>
                <w:szCs w:val="22"/>
              </w:rPr>
              <w:t xml:space="preserve"> </w:t>
            </w:r>
          </w:p>
          <w:p w:rsidR="006862C8" w:rsidRPr="00B435F3" w:rsidRDefault="00405B81" w:rsidP="005E04D4">
            <w:pPr>
              <w:snapToGrid w:val="0"/>
              <w:jc w:val="both"/>
              <w:rPr>
                <w:sz w:val="22"/>
                <w:szCs w:val="22"/>
              </w:rPr>
            </w:pPr>
            <w:r w:rsidRPr="00B435F3">
              <w:rPr>
                <w:sz w:val="22"/>
                <w:szCs w:val="22"/>
              </w:rPr>
              <w:t>Jan 2015</w:t>
            </w:r>
          </w:p>
        </w:tc>
        <w:tc>
          <w:tcPr>
            <w:tcW w:w="2285" w:type="dxa"/>
            <w:tcBorders>
              <w:top w:val="single" w:sz="4" w:space="0" w:color="000000"/>
              <w:left w:val="single" w:sz="4" w:space="0" w:color="000000"/>
              <w:bottom w:val="single" w:sz="4" w:space="0" w:color="000000"/>
            </w:tcBorders>
            <w:shd w:val="clear" w:color="auto" w:fill="CCFFFF"/>
          </w:tcPr>
          <w:p w:rsidR="006862C8" w:rsidRPr="00B435F3" w:rsidRDefault="006862C8" w:rsidP="00405B81">
            <w:pPr>
              <w:snapToGrid w:val="0"/>
              <w:jc w:val="both"/>
              <w:rPr>
                <w:sz w:val="22"/>
                <w:szCs w:val="22"/>
              </w:rPr>
            </w:pPr>
            <w:r w:rsidRPr="00B435F3">
              <w:rPr>
                <w:b/>
                <w:sz w:val="22"/>
                <w:szCs w:val="22"/>
              </w:rPr>
              <w:t>Assessed by</w:t>
            </w:r>
            <w:r w:rsidRPr="00B435F3">
              <w:rPr>
                <w:sz w:val="22"/>
                <w:szCs w:val="22"/>
              </w:rPr>
              <w:t xml:space="preserve">: </w:t>
            </w:r>
          </w:p>
          <w:p w:rsidR="006862C8" w:rsidRPr="00B435F3" w:rsidRDefault="006862C8" w:rsidP="00405B81">
            <w:pPr>
              <w:jc w:val="both"/>
              <w:rPr>
                <w:sz w:val="22"/>
                <w:szCs w:val="22"/>
              </w:rPr>
            </w:pPr>
            <w:r w:rsidRPr="00B435F3">
              <w:rPr>
                <w:sz w:val="22"/>
                <w:szCs w:val="22"/>
              </w:rPr>
              <w:t>Sandra Kennedy</w:t>
            </w:r>
          </w:p>
        </w:tc>
        <w:tc>
          <w:tcPr>
            <w:tcW w:w="2472" w:type="dxa"/>
            <w:tcBorders>
              <w:top w:val="single" w:sz="4" w:space="0" w:color="000000"/>
              <w:left w:val="single" w:sz="4" w:space="0" w:color="000000"/>
              <w:bottom w:val="single" w:sz="4" w:space="0" w:color="000000"/>
            </w:tcBorders>
            <w:shd w:val="clear" w:color="auto" w:fill="CCFFFF"/>
          </w:tcPr>
          <w:p w:rsidR="006862C8" w:rsidRPr="00B435F3" w:rsidRDefault="006862C8" w:rsidP="00405B81">
            <w:pPr>
              <w:snapToGrid w:val="0"/>
              <w:jc w:val="both"/>
              <w:rPr>
                <w:sz w:val="22"/>
                <w:szCs w:val="22"/>
              </w:rPr>
            </w:pPr>
            <w:r w:rsidRPr="00B435F3">
              <w:rPr>
                <w:b/>
                <w:sz w:val="22"/>
                <w:szCs w:val="22"/>
              </w:rPr>
              <w:t>Validated by</w:t>
            </w:r>
            <w:r w:rsidRPr="00B435F3">
              <w:rPr>
                <w:sz w:val="22"/>
                <w:szCs w:val="22"/>
              </w:rPr>
              <w:t xml:space="preserve">: </w:t>
            </w:r>
          </w:p>
          <w:p w:rsidR="006862C8" w:rsidRPr="00B435F3" w:rsidRDefault="00405B81" w:rsidP="00405B81">
            <w:pPr>
              <w:jc w:val="both"/>
              <w:rPr>
                <w:sz w:val="22"/>
                <w:szCs w:val="22"/>
              </w:rPr>
            </w:pPr>
            <w:r w:rsidRPr="00B435F3">
              <w:rPr>
                <w:sz w:val="22"/>
                <w:szCs w:val="22"/>
              </w:rPr>
              <w:t>Tanya Aspinall</w:t>
            </w:r>
          </w:p>
        </w:tc>
        <w:tc>
          <w:tcPr>
            <w:tcW w:w="3082" w:type="dxa"/>
            <w:tcBorders>
              <w:top w:val="single" w:sz="4" w:space="0" w:color="000000"/>
              <w:left w:val="single" w:sz="4" w:space="0" w:color="000000"/>
              <w:bottom w:val="single" w:sz="4" w:space="0" w:color="000000"/>
            </w:tcBorders>
            <w:shd w:val="clear" w:color="auto" w:fill="CCFFFF"/>
          </w:tcPr>
          <w:p w:rsidR="00B102FA" w:rsidRPr="00B435F3" w:rsidRDefault="006862C8" w:rsidP="00405B81">
            <w:pPr>
              <w:snapToGrid w:val="0"/>
              <w:jc w:val="both"/>
              <w:rPr>
                <w:sz w:val="22"/>
                <w:szCs w:val="22"/>
              </w:rPr>
            </w:pPr>
            <w:r w:rsidRPr="00B435F3">
              <w:rPr>
                <w:b/>
                <w:sz w:val="22"/>
                <w:szCs w:val="22"/>
              </w:rPr>
              <w:t>Location</w:t>
            </w:r>
            <w:r w:rsidRPr="00B435F3">
              <w:rPr>
                <w:sz w:val="22"/>
                <w:szCs w:val="22"/>
              </w:rPr>
              <w:t xml:space="preserve">: </w:t>
            </w:r>
          </w:p>
          <w:p w:rsidR="006862C8" w:rsidRPr="00B435F3" w:rsidRDefault="006862C8" w:rsidP="00405B81">
            <w:pPr>
              <w:snapToGrid w:val="0"/>
              <w:jc w:val="both"/>
              <w:rPr>
                <w:sz w:val="22"/>
                <w:szCs w:val="22"/>
              </w:rPr>
            </w:pPr>
            <w:r w:rsidRPr="00B435F3">
              <w:rPr>
                <w:sz w:val="22"/>
                <w:szCs w:val="22"/>
              </w:rPr>
              <w:t xml:space="preserve">MIB </w:t>
            </w:r>
          </w:p>
        </w:tc>
        <w:tc>
          <w:tcPr>
            <w:tcW w:w="2650" w:type="dxa"/>
            <w:tcBorders>
              <w:top w:val="single" w:sz="4" w:space="0" w:color="000000"/>
              <w:bottom w:val="single" w:sz="4" w:space="0" w:color="000000"/>
            </w:tcBorders>
            <w:shd w:val="clear" w:color="auto" w:fill="CCFFFF"/>
          </w:tcPr>
          <w:p w:rsidR="006862C8" w:rsidRPr="00B435F3" w:rsidRDefault="006862C8" w:rsidP="00405B81">
            <w:pPr>
              <w:snapToGrid w:val="0"/>
              <w:jc w:val="both"/>
              <w:rPr>
                <w:b/>
                <w:sz w:val="22"/>
                <w:szCs w:val="22"/>
              </w:rPr>
            </w:pPr>
          </w:p>
        </w:tc>
        <w:tc>
          <w:tcPr>
            <w:tcW w:w="2059" w:type="dxa"/>
            <w:tcBorders>
              <w:top w:val="single" w:sz="4" w:space="0" w:color="000000"/>
              <w:left w:val="single" w:sz="4" w:space="0" w:color="000000"/>
              <w:bottom w:val="single" w:sz="4" w:space="0" w:color="000000"/>
              <w:right w:val="single" w:sz="4" w:space="0" w:color="000000"/>
            </w:tcBorders>
            <w:shd w:val="clear" w:color="auto" w:fill="CCFFFF"/>
          </w:tcPr>
          <w:p w:rsidR="006862C8" w:rsidRPr="00B435F3" w:rsidRDefault="006862C8" w:rsidP="00405B81">
            <w:pPr>
              <w:snapToGrid w:val="0"/>
              <w:jc w:val="both"/>
              <w:rPr>
                <w:b/>
                <w:sz w:val="22"/>
                <w:szCs w:val="22"/>
              </w:rPr>
            </w:pPr>
            <w:r w:rsidRPr="00B435F3">
              <w:rPr>
                <w:b/>
                <w:sz w:val="22"/>
                <w:szCs w:val="22"/>
              </w:rPr>
              <w:t xml:space="preserve">Review date: </w:t>
            </w:r>
          </w:p>
          <w:p w:rsidR="006862C8" w:rsidRPr="00B435F3" w:rsidRDefault="00405B81" w:rsidP="00405B81">
            <w:pPr>
              <w:jc w:val="both"/>
              <w:rPr>
                <w:sz w:val="22"/>
                <w:szCs w:val="22"/>
              </w:rPr>
            </w:pPr>
            <w:r w:rsidRPr="00B435F3">
              <w:rPr>
                <w:sz w:val="22"/>
                <w:szCs w:val="22"/>
              </w:rPr>
              <w:t>2016</w:t>
            </w:r>
          </w:p>
        </w:tc>
      </w:tr>
      <w:tr w:rsidR="006862C8" w:rsidRPr="00B435F3" w:rsidTr="00A866DF">
        <w:trPr>
          <w:cantSplit/>
        </w:trPr>
        <w:tc>
          <w:tcPr>
            <w:tcW w:w="14195" w:type="dxa"/>
            <w:gridSpan w:val="6"/>
            <w:tcBorders>
              <w:top w:val="single" w:sz="4" w:space="0" w:color="000000"/>
              <w:left w:val="single" w:sz="4" w:space="0" w:color="000000"/>
              <w:bottom w:val="single" w:sz="4" w:space="0" w:color="000000"/>
              <w:right w:val="single" w:sz="4" w:space="0" w:color="000000"/>
            </w:tcBorders>
            <w:shd w:val="clear" w:color="auto" w:fill="auto"/>
          </w:tcPr>
          <w:p w:rsidR="00A866DF" w:rsidRPr="00B435F3" w:rsidRDefault="00405B81" w:rsidP="00A866DF">
            <w:pPr>
              <w:snapToGrid w:val="0"/>
              <w:jc w:val="both"/>
              <w:rPr>
                <w:b/>
                <w:sz w:val="22"/>
                <w:szCs w:val="22"/>
              </w:rPr>
            </w:pPr>
            <w:r w:rsidRPr="00B435F3">
              <w:rPr>
                <w:b/>
                <w:sz w:val="22"/>
                <w:szCs w:val="22"/>
              </w:rPr>
              <w:t xml:space="preserve">Task </w:t>
            </w:r>
          </w:p>
          <w:p w:rsidR="006862C8" w:rsidRPr="00B435F3" w:rsidRDefault="006862C8" w:rsidP="00405B81">
            <w:pPr>
              <w:snapToGrid w:val="0"/>
              <w:ind w:left="567"/>
              <w:jc w:val="both"/>
              <w:rPr>
                <w:sz w:val="22"/>
                <w:szCs w:val="22"/>
              </w:rPr>
            </w:pPr>
            <w:r w:rsidRPr="00B435F3">
              <w:rPr>
                <w:sz w:val="22"/>
                <w:szCs w:val="22"/>
              </w:rPr>
              <w:t>Transport and handling of liquid nitrogen; Dispensing of liquid N</w:t>
            </w:r>
            <w:r w:rsidRPr="00B435F3">
              <w:rPr>
                <w:sz w:val="22"/>
                <w:szCs w:val="22"/>
                <w:vertAlign w:val="subscript"/>
              </w:rPr>
              <w:t>2</w:t>
            </w:r>
            <w:r w:rsidRPr="00B435F3">
              <w:rPr>
                <w:sz w:val="22"/>
                <w:szCs w:val="22"/>
              </w:rPr>
              <w:t xml:space="preserve"> into appropriate containers for use in laboratories; Filling of cell freezers with liquid N</w:t>
            </w:r>
            <w:r w:rsidRPr="00B435F3">
              <w:rPr>
                <w:sz w:val="22"/>
                <w:szCs w:val="22"/>
                <w:vertAlign w:val="subscript"/>
              </w:rPr>
              <w:t xml:space="preserve">2; </w:t>
            </w:r>
            <w:r w:rsidRPr="00B435F3">
              <w:rPr>
                <w:sz w:val="22"/>
                <w:szCs w:val="22"/>
              </w:rPr>
              <w:t>Transport of liquid N</w:t>
            </w:r>
            <w:r w:rsidRPr="00B435F3">
              <w:rPr>
                <w:sz w:val="22"/>
                <w:szCs w:val="22"/>
                <w:vertAlign w:val="subscript"/>
              </w:rPr>
              <w:t xml:space="preserve">2 </w:t>
            </w:r>
            <w:r w:rsidRPr="00B435F3">
              <w:rPr>
                <w:sz w:val="22"/>
                <w:szCs w:val="22"/>
              </w:rPr>
              <w:t>in goods lift.</w:t>
            </w:r>
          </w:p>
          <w:p w:rsidR="00A866DF" w:rsidRPr="00B435F3" w:rsidRDefault="00A866DF" w:rsidP="00405B81">
            <w:pPr>
              <w:snapToGrid w:val="0"/>
              <w:ind w:left="567"/>
              <w:jc w:val="both"/>
              <w:rPr>
                <w:b/>
                <w:sz w:val="22"/>
                <w:szCs w:val="22"/>
              </w:rPr>
            </w:pPr>
          </w:p>
        </w:tc>
      </w:tr>
    </w:tbl>
    <w:p w:rsidR="006862C8" w:rsidRPr="00B435F3" w:rsidRDefault="006862C8" w:rsidP="00405B81">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84"/>
        <w:gridCol w:w="1560"/>
        <w:gridCol w:w="6662"/>
        <w:gridCol w:w="992"/>
        <w:gridCol w:w="927"/>
      </w:tblGrid>
      <w:tr w:rsidR="005E04D4" w:rsidRPr="00B435F3" w:rsidTr="001C741B">
        <w:tc>
          <w:tcPr>
            <w:tcW w:w="2093" w:type="dxa"/>
            <w:shd w:val="clear" w:color="auto" w:fill="CCFFFF"/>
          </w:tcPr>
          <w:p w:rsidR="005E04D4" w:rsidRPr="00B435F3" w:rsidRDefault="005E04D4" w:rsidP="000D78C4">
            <w:pPr>
              <w:snapToGrid w:val="0"/>
              <w:jc w:val="both"/>
              <w:rPr>
                <w:b/>
                <w:sz w:val="22"/>
                <w:szCs w:val="22"/>
              </w:rPr>
            </w:pPr>
            <w:r w:rsidRPr="00B435F3">
              <w:rPr>
                <w:b/>
                <w:sz w:val="22"/>
                <w:szCs w:val="22"/>
              </w:rPr>
              <w:t xml:space="preserve">Activity </w:t>
            </w:r>
          </w:p>
        </w:tc>
        <w:tc>
          <w:tcPr>
            <w:tcW w:w="1984" w:type="dxa"/>
            <w:shd w:val="clear" w:color="auto" w:fill="CCFFFF"/>
          </w:tcPr>
          <w:p w:rsidR="005E04D4" w:rsidRPr="00B435F3" w:rsidRDefault="005E04D4" w:rsidP="000D78C4">
            <w:pPr>
              <w:snapToGrid w:val="0"/>
              <w:jc w:val="both"/>
              <w:rPr>
                <w:b/>
                <w:sz w:val="22"/>
                <w:szCs w:val="22"/>
              </w:rPr>
            </w:pPr>
            <w:r w:rsidRPr="00B435F3">
              <w:rPr>
                <w:b/>
                <w:sz w:val="22"/>
                <w:szCs w:val="22"/>
              </w:rPr>
              <w:t xml:space="preserve">Hazard </w:t>
            </w:r>
          </w:p>
        </w:tc>
        <w:tc>
          <w:tcPr>
            <w:tcW w:w="1560" w:type="dxa"/>
            <w:shd w:val="clear" w:color="auto" w:fill="CCFFFF"/>
          </w:tcPr>
          <w:p w:rsidR="005E04D4" w:rsidRPr="00B435F3" w:rsidRDefault="005E04D4" w:rsidP="000D78C4">
            <w:pPr>
              <w:snapToGrid w:val="0"/>
              <w:jc w:val="both"/>
              <w:rPr>
                <w:sz w:val="22"/>
                <w:szCs w:val="22"/>
              </w:rPr>
            </w:pPr>
            <w:r w:rsidRPr="00B435F3">
              <w:rPr>
                <w:b/>
                <w:sz w:val="22"/>
                <w:szCs w:val="22"/>
              </w:rPr>
              <w:t>Person(s) in dange</w:t>
            </w:r>
            <w:r w:rsidRPr="00B435F3">
              <w:rPr>
                <w:sz w:val="22"/>
                <w:szCs w:val="22"/>
              </w:rPr>
              <w:t xml:space="preserve">r </w:t>
            </w:r>
          </w:p>
        </w:tc>
        <w:tc>
          <w:tcPr>
            <w:tcW w:w="6662" w:type="dxa"/>
            <w:shd w:val="clear" w:color="auto" w:fill="CCFFFF"/>
          </w:tcPr>
          <w:p w:rsidR="005E04D4" w:rsidRPr="00B435F3" w:rsidRDefault="005E04D4" w:rsidP="000D78C4">
            <w:pPr>
              <w:snapToGrid w:val="0"/>
              <w:jc w:val="both"/>
              <w:rPr>
                <w:sz w:val="22"/>
                <w:szCs w:val="22"/>
              </w:rPr>
            </w:pPr>
            <w:r w:rsidRPr="00B435F3">
              <w:rPr>
                <w:b/>
                <w:sz w:val="22"/>
                <w:szCs w:val="22"/>
              </w:rPr>
              <w:t>Existing measures to control risk</w:t>
            </w:r>
            <w:r w:rsidRPr="00B435F3">
              <w:rPr>
                <w:sz w:val="22"/>
                <w:szCs w:val="22"/>
              </w:rPr>
              <w:t xml:space="preserve"> </w:t>
            </w:r>
          </w:p>
        </w:tc>
        <w:tc>
          <w:tcPr>
            <w:tcW w:w="992" w:type="dxa"/>
            <w:shd w:val="clear" w:color="auto" w:fill="CCFFFF"/>
          </w:tcPr>
          <w:p w:rsidR="005E04D4" w:rsidRPr="00B435F3" w:rsidRDefault="005E04D4" w:rsidP="000D78C4">
            <w:pPr>
              <w:snapToGrid w:val="0"/>
              <w:jc w:val="both"/>
              <w:rPr>
                <w:sz w:val="22"/>
                <w:szCs w:val="22"/>
              </w:rPr>
            </w:pPr>
            <w:r w:rsidRPr="00B435F3">
              <w:rPr>
                <w:b/>
                <w:sz w:val="22"/>
                <w:szCs w:val="22"/>
              </w:rPr>
              <w:t>Risk rating</w:t>
            </w:r>
            <w:r w:rsidRPr="00B435F3">
              <w:rPr>
                <w:sz w:val="22"/>
                <w:szCs w:val="22"/>
              </w:rPr>
              <w:t xml:space="preserve"> </w:t>
            </w:r>
          </w:p>
        </w:tc>
        <w:tc>
          <w:tcPr>
            <w:tcW w:w="927" w:type="dxa"/>
            <w:shd w:val="clear" w:color="auto" w:fill="CCFFFF"/>
          </w:tcPr>
          <w:p w:rsidR="005E04D4" w:rsidRPr="00B435F3" w:rsidRDefault="005E04D4" w:rsidP="000D78C4">
            <w:pPr>
              <w:snapToGrid w:val="0"/>
              <w:jc w:val="both"/>
              <w:rPr>
                <w:b/>
                <w:sz w:val="22"/>
                <w:szCs w:val="22"/>
              </w:rPr>
            </w:pPr>
            <w:r w:rsidRPr="00B435F3">
              <w:rPr>
                <w:b/>
                <w:sz w:val="22"/>
                <w:szCs w:val="22"/>
              </w:rPr>
              <w:t xml:space="preserve">Result </w:t>
            </w:r>
          </w:p>
        </w:tc>
      </w:tr>
      <w:tr w:rsidR="005E04D4" w:rsidRPr="00B435F3" w:rsidTr="001C741B">
        <w:tc>
          <w:tcPr>
            <w:tcW w:w="2093" w:type="dxa"/>
            <w:shd w:val="clear" w:color="auto" w:fill="auto"/>
          </w:tcPr>
          <w:p w:rsidR="005E04D4" w:rsidRPr="00B435F3" w:rsidRDefault="005E04D4" w:rsidP="00A866DF">
            <w:pPr>
              <w:snapToGrid w:val="0"/>
              <w:rPr>
                <w:sz w:val="22"/>
                <w:szCs w:val="22"/>
              </w:rPr>
            </w:pPr>
            <w:r w:rsidRPr="00B435F3">
              <w:rPr>
                <w:sz w:val="22"/>
                <w:szCs w:val="22"/>
              </w:rPr>
              <w:t>Transport / handling of liquid nitrogen</w:t>
            </w:r>
          </w:p>
        </w:tc>
        <w:tc>
          <w:tcPr>
            <w:tcW w:w="1984" w:type="dxa"/>
            <w:tcBorders>
              <w:bottom w:val="single" w:sz="4" w:space="0" w:color="auto"/>
            </w:tcBorders>
            <w:shd w:val="clear" w:color="auto" w:fill="auto"/>
          </w:tcPr>
          <w:p w:rsidR="005E04D4" w:rsidRPr="00B435F3" w:rsidRDefault="005E04D4" w:rsidP="00A866DF">
            <w:pPr>
              <w:snapToGrid w:val="0"/>
              <w:rPr>
                <w:sz w:val="22"/>
                <w:szCs w:val="22"/>
              </w:rPr>
            </w:pPr>
            <w:r w:rsidRPr="00B435F3">
              <w:rPr>
                <w:sz w:val="22"/>
                <w:szCs w:val="22"/>
              </w:rPr>
              <w:t>Release of liquid nitrogen – risk of asphyxiation</w:t>
            </w:r>
          </w:p>
        </w:tc>
        <w:tc>
          <w:tcPr>
            <w:tcW w:w="1560" w:type="dxa"/>
            <w:tcBorders>
              <w:bottom w:val="single" w:sz="4" w:space="0" w:color="auto"/>
            </w:tcBorders>
            <w:shd w:val="clear" w:color="auto" w:fill="auto"/>
          </w:tcPr>
          <w:p w:rsidR="005E04D4" w:rsidRPr="00B435F3" w:rsidRDefault="005E04D4" w:rsidP="00A866DF">
            <w:pPr>
              <w:snapToGrid w:val="0"/>
              <w:rPr>
                <w:sz w:val="22"/>
                <w:szCs w:val="22"/>
              </w:rPr>
            </w:pPr>
            <w:r w:rsidRPr="00B435F3">
              <w:rPr>
                <w:sz w:val="22"/>
                <w:szCs w:val="22"/>
              </w:rPr>
              <w:t>Staff and those in close proximity</w:t>
            </w:r>
          </w:p>
        </w:tc>
        <w:tc>
          <w:tcPr>
            <w:tcW w:w="6662" w:type="dxa"/>
            <w:shd w:val="clear" w:color="auto" w:fill="auto"/>
          </w:tcPr>
          <w:p w:rsidR="005E04D4" w:rsidRPr="00B435F3" w:rsidRDefault="005E04D4" w:rsidP="000D78C4">
            <w:pPr>
              <w:pStyle w:val="BodyTextIndent"/>
              <w:snapToGrid w:val="0"/>
              <w:ind w:left="0"/>
              <w:jc w:val="both"/>
              <w:rPr>
                <w:sz w:val="22"/>
                <w:szCs w:val="22"/>
              </w:rPr>
            </w:pPr>
            <w:r w:rsidRPr="00B435F3">
              <w:rPr>
                <w:sz w:val="22"/>
                <w:szCs w:val="22"/>
              </w:rPr>
              <w:t xml:space="preserve">All staff must be trained in the correct handling and transport of liquid nitrogen. They must complete COSHH and risk assessments so that they are aware of the hazards associated with the handling of liquid nitrogen, and understand the emergency procedures that should be followed in case of an accident.  </w:t>
            </w:r>
          </w:p>
          <w:p w:rsidR="005E04D4" w:rsidRPr="00B435F3" w:rsidRDefault="005E04D4" w:rsidP="000D78C4">
            <w:pPr>
              <w:pStyle w:val="BodyTextIndent"/>
              <w:snapToGrid w:val="0"/>
              <w:ind w:left="0"/>
              <w:jc w:val="both"/>
              <w:rPr>
                <w:sz w:val="22"/>
                <w:szCs w:val="22"/>
              </w:rPr>
            </w:pPr>
          </w:p>
          <w:p w:rsidR="00663964" w:rsidRPr="00B435F3" w:rsidRDefault="00663964" w:rsidP="000D78C4">
            <w:pPr>
              <w:pStyle w:val="BodyTextIndent"/>
              <w:snapToGrid w:val="0"/>
              <w:ind w:left="0"/>
              <w:jc w:val="both"/>
              <w:rPr>
                <w:sz w:val="22"/>
                <w:szCs w:val="22"/>
              </w:rPr>
            </w:pPr>
            <w:r w:rsidRPr="00B435F3">
              <w:rPr>
                <w:sz w:val="22"/>
                <w:szCs w:val="22"/>
              </w:rPr>
              <w:t>All staff who handle/use liquid nitrogen must have attended a chemical safety course which details the risks associated with liquid nitrogen, and what to do in case of a burn injury.</w:t>
            </w:r>
          </w:p>
          <w:p w:rsidR="00663964" w:rsidRPr="00B435F3" w:rsidRDefault="00663964" w:rsidP="000D78C4">
            <w:pPr>
              <w:pStyle w:val="BodyTextIndent"/>
              <w:snapToGrid w:val="0"/>
              <w:jc w:val="both"/>
              <w:rPr>
                <w:sz w:val="22"/>
                <w:szCs w:val="22"/>
              </w:rPr>
            </w:pPr>
          </w:p>
          <w:p w:rsidR="001C741B" w:rsidRDefault="001C741B" w:rsidP="000D78C4">
            <w:pPr>
              <w:pStyle w:val="BodyTextIndent"/>
              <w:snapToGrid w:val="0"/>
              <w:ind w:left="0"/>
              <w:jc w:val="both"/>
              <w:rPr>
                <w:sz w:val="22"/>
                <w:szCs w:val="22"/>
              </w:rPr>
            </w:pPr>
            <w:r w:rsidRPr="001C741B">
              <w:rPr>
                <w:sz w:val="22"/>
                <w:szCs w:val="22"/>
              </w:rPr>
              <w:t>The following items of PPE must be worn: Howie-style laboratory coat, BS EN</w:t>
            </w:r>
            <w:r>
              <w:rPr>
                <w:sz w:val="22"/>
                <w:szCs w:val="22"/>
              </w:rPr>
              <w:t xml:space="preserve"> 511</w:t>
            </w:r>
            <w:r w:rsidRPr="001C741B">
              <w:rPr>
                <w:sz w:val="22"/>
                <w:szCs w:val="22"/>
              </w:rPr>
              <w:t xml:space="preserve"> compliant gloves (</w:t>
            </w:r>
            <w:r>
              <w:rPr>
                <w:sz w:val="22"/>
                <w:szCs w:val="22"/>
              </w:rPr>
              <w:t xml:space="preserve">low temperature), </w:t>
            </w:r>
            <w:r w:rsidRPr="001C741B">
              <w:rPr>
                <w:sz w:val="22"/>
                <w:szCs w:val="22"/>
              </w:rPr>
              <w:t>BS EN166 compliant eye protection (chemical splash proof safety glasses)</w:t>
            </w:r>
            <w:r>
              <w:rPr>
                <w:sz w:val="22"/>
                <w:szCs w:val="22"/>
              </w:rPr>
              <w:t xml:space="preserve"> and face shield</w:t>
            </w:r>
            <w:r w:rsidRPr="001C741B">
              <w:rPr>
                <w:sz w:val="22"/>
                <w:szCs w:val="22"/>
              </w:rPr>
              <w:t>. A selection of safety glasses and goggles are available from MIB Stores; users are advised to visit Stores and select eye protection which fits well and is comfortable to use. Regular lab inspections monitor the wearing of PPE; users found not to be wearing PPE when the risk assessment states that it must be worn will be subject to the MIB compliance policy.</w:t>
            </w:r>
          </w:p>
          <w:p w:rsidR="00663964" w:rsidRPr="00B435F3" w:rsidRDefault="00663964" w:rsidP="000D78C4">
            <w:pPr>
              <w:pStyle w:val="BodyTextIndent"/>
              <w:snapToGrid w:val="0"/>
              <w:ind w:left="0"/>
              <w:jc w:val="both"/>
              <w:rPr>
                <w:sz w:val="22"/>
                <w:szCs w:val="22"/>
              </w:rPr>
            </w:pPr>
            <w:bookmarkStart w:id="0" w:name="_GoBack"/>
            <w:bookmarkEnd w:id="0"/>
          </w:p>
          <w:p w:rsidR="005E04D4" w:rsidRPr="00B435F3" w:rsidRDefault="005E04D4" w:rsidP="000D78C4">
            <w:pPr>
              <w:pStyle w:val="BodyTextIndent"/>
              <w:ind w:left="0"/>
              <w:jc w:val="both"/>
              <w:rPr>
                <w:sz w:val="22"/>
                <w:szCs w:val="22"/>
              </w:rPr>
            </w:pPr>
            <w:r w:rsidRPr="00B435F3">
              <w:rPr>
                <w:sz w:val="22"/>
                <w:szCs w:val="22"/>
              </w:rPr>
              <w:t xml:space="preserve">In rooms where liquid nitrogen is regularly used, oxygen monitors and alarms are present, and are tested regularly to ensure they are functional. Where it is a one-off experiment, in a room not </w:t>
            </w:r>
            <w:r w:rsidRPr="00B435F3">
              <w:rPr>
                <w:sz w:val="22"/>
                <w:szCs w:val="22"/>
              </w:rPr>
              <w:lastRenderedPageBreak/>
              <w:t>normally used for such work, personal oxygen monitors must be obtained from MIB technicians and used.</w:t>
            </w:r>
          </w:p>
          <w:p w:rsidR="005E04D4" w:rsidRPr="00B435F3" w:rsidRDefault="005E04D4" w:rsidP="000D78C4">
            <w:pPr>
              <w:pStyle w:val="BodyTextIndent"/>
              <w:ind w:left="0"/>
              <w:jc w:val="both"/>
              <w:rPr>
                <w:sz w:val="22"/>
                <w:szCs w:val="22"/>
              </w:rPr>
            </w:pPr>
          </w:p>
          <w:p w:rsidR="005E04D4" w:rsidRPr="00B435F3" w:rsidRDefault="005E04D4" w:rsidP="000D78C4">
            <w:pPr>
              <w:pStyle w:val="BodyTextIndent"/>
              <w:ind w:left="0"/>
              <w:jc w:val="both"/>
              <w:rPr>
                <w:sz w:val="22"/>
                <w:szCs w:val="22"/>
              </w:rPr>
            </w:pPr>
            <w:r w:rsidRPr="00B435F3">
              <w:rPr>
                <w:sz w:val="22"/>
                <w:szCs w:val="22"/>
              </w:rPr>
              <w:t>Warning signs and emergency advice are prominently displayed.</w:t>
            </w:r>
          </w:p>
          <w:p w:rsidR="005E04D4" w:rsidRPr="00B435F3" w:rsidRDefault="005E04D4" w:rsidP="000D78C4">
            <w:pPr>
              <w:tabs>
                <w:tab w:val="left" w:pos="1276"/>
              </w:tabs>
              <w:jc w:val="both"/>
              <w:rPr>
                <w:sz w:val="22"/>
                <w:szCs w:val="22"/>
              </w:rPr>
            </w:pPr>
          </w:p>
          <w:p w:rsidR="005E04D4" w:rsidRPr="00B435F3" w:rsidRDefault="005E04D4" w:rsidP="000D78C4">
            <w:pPr>
              <w:pStyle w:val="BodyTextIndent"/>
              <w:ind w:left="0"/>
              <w:jc w:val="both"/>
              <w:rPr>
                <w:sz w:val="22"/>
                <w:szCs w:val="22"/>
              </w:rPr>
            </w:pPr>
            <w:proofErr w:type="gramStart"/>
            <w:r w:rsidRPr="00B435F3">
              <w:rPr>
                <w:sz w:val="22"/>
                <w:szCs w:val="22"/>
              </w:rPr>
              <w:t>Staff are</w:t>
            </w:r>
            <w:proofErr w:type="gramEnd"/>
            <w:r w:rsidRPr="00B435F3">
              <w:rPr>
                <w:sz w:val="22"/>
                <w:szCs w:val="22"/>
              </w:rPr>
              <w:t xml:space="preserve"> forbidden from travelling in the lift with liquid nitrogen. The lift lock-off system must be used. A warning sign must be displayed to warn others not to enter the lift during liquid nitrogen transport.</w:t>
            </w:r>
          </w:p>
          <w:p w:rsidR="00A866DF" w:rsidRPr="00B435F3" w:rsidRDefault="00A866DF" w:rsidP="000D78C4">
            <w:pPr>
              <w:pStyle w:val="BodyTextIndent"/>
              <w:ind w:left="0"/>
              <w:jc w:val="both"/>
              <w:rPr>
                <w:sz w:val="22"/>
                <w:szCs w:val="22"/>
              </w:rPr>
            </w:pPr>
          </w:p>
        </w:tc>
        <w:tc>
          <w:tcPr>
            <w:tcW w:w="992" w:type="dxa"/>
            <w:shd w:val="clear" w:color="auto" w:fill="auto"/>
          </w:tcPr>
          <w:p w:rsidR="005E04D4" w:rsidRPr="00B435F3" w:rsidRDefault="005E04D4" w:rsidP="000D78C4">
            <w:pPr>
              <w:snapToGrid w:val="0"/>
              <w:jc w:val="both"/>
              <w:rPr>
                <w:sz w:val="22"/>
                <w:szCs w:val="22"/>
              </w:rPr>
            </w:pPr>
            <w:r w:rsidRPr="00B435F3">
              <w:rPr>
                <w:sz w:val="22"/>
                <w:szCs w:val="22"/>
              </w:rPr>
              <w:lastRenderedPageBreak/>
              <w:t>low</w:t>
            </w:r>
          </w:p>
        </w:tc>
        <w:tc>
          <w:tcPr>
            <w:tcW w:w="927" w:type="dxa"/>
            <w:shd w:val="clear" w:color="auto" w:fill="auto"/>
          </w:tcPr>
          <w:p w:rsidR="005E04D4" w:rsidRPr="00B435F3" w:rsidRDefault="005E04D4" w:rsidP="000D78C4">
            <w:pPr>
              <w:snapToGrid w:val="0"/>
              <w:jc w:val="both"/>
              <w:rPr>
                <w:sz w:val="22"/>
                <w:szCs w:val="22"/>
              </w:rPr>
            </w:pPr>
            <w:r w:rsidRPr="00B435F3">
              <w:rPr>
                <w:sz w:val="22"/>
                <w:szCs w:val="22"/>
              </w:rPr>
              <w:t>A</w:t>
            </w:r>
          </w:p>
        </w:tc>
      </w:tr>
      <w:tr w:rsidR="00663964" w:rsidRPr="00B435F3" w:rsidTr="001C741B">
        <w:tc>
          <w:tcPr>
            <w:tcW w:w="2093" w:type="dxa"/>
            <w:shd w:val="clear" w:color="auto" w:fill="auto"/>
          </w:tcPr>
          <w:p w:rsidR="00663964" w:rsidRPr="00B435F3" w:rsidRDefault="00663964" w:rsidP="00A866DF">
            <w:pPr>
              <w:rPr>
                <w:sz w:val="22"/>
                <w:szCs w:val="22"/>
              </w:rPr>
            </w:pPr>
            <w:r w:rsidRPr="00B435F3">
              <w:rPr>
                <w:sz w:val="22"/>
                <w:szCs w:val="22"/>
              </w:rPr>
              <w:lastRenderedPageBreak/>
              <w:t>Dispensing liquid nitrogen</w:t>
            </w:r>
          </w:p>
        </w:tc>
        <w:tc>
          <w:tcPr>
            <w:tcW w:w="1984" w:type="dxa"/>
            <w:tcBorders>
              <w:top w:val="single" w:sz="4" w:space="0" w:color="auto"/>
            </w:tcBorders>
            <w:shd w:val="clear" w:color="auto" w:fill="auto"/>
          </w:tcPr>
          <w:p w:rsidR="00663964" w:rsidRPr="00B435F3" w:rsidRDefault="00663964" w:rsidP="00A866DF">
            <w:pPr>
              <w:snapToGrid w:val="0"/>
              <w:rPr>
                <w:sz w:val="22"/>
                <w:szCs w:val="22"/>
              </w:rPr>
            </w:pPr>
            <w:r w:rsidRPr="00B435F3">
              <w:rPr>
                <w:sz w:val="22"/>
                <w:szCs w:val="22"/>
              </w:rPr>
              <w:t>Release of liquid nitrogen – risk of frostbite / cold burns</w:t>
            </w:r>
          </w:p>
          <w:p w:rsidR="00663964" w:rsidRPr="00B435F3" w:rsidRDefault="00663964" w:rsidP="000D78C4">
            <w:pPr>
              <w:jc w:val="both"/>
              <w:rPr>
                <w:sz w:val="22"/>
                <w:szCs w:val="22"/>
              </w:rPr>
            </w:pPr>
          </w:p>
        </w:tc>
        <w:tc>
          <w:tcPr>
            <w:tcW w:w="1560" w:type="dxa"/>
            <w:tcBorders>
              <w:top w:val="single" w:sz="4" w:space="0" w:color="auto"/>
            </w:tcBorders>
            <w:shd w:val="clear" w:color="auto" w:fill="auto"/>
          </w:tcPr>
          <w:p w:rsidR="00663964" w:rsidRPr="00B435F3" w:rsidRDefault="00663964" w:rsidP="000D78C4">
            <w:pPr>
              <w:snapToGrid w:val="0"/>
              <w:jc w:val="both"/>
              <w:rPr>
                <w:sz w:val="22"/>
                <w:szCs w:val="22"/>
              </w:rPr>
            </w:pPr>
            <w:r w:rsidRPr="00B435F3">
              <w:rPr>
                <w:sz w:val="22"/>
                <w:szCs w:val="22"/>
              </w:rPr>
              <w:t>Staff and other building users</w:t>
            </w:r>
          </w:p>
        </w:tc>
        <w:tc>
          <w:tcPr>
            <w:tcW w:w="6662" w:type="dxa"/>
            <w:shd w:val="clear" w:color="auto" w:fill="auto"/>
          </w:tcPr>
          <w:p w:rsidR="00663964" w:rsidRPr="00B435F3" w:rsidRDefault="00663964" w:rsidP="000D78C4">
            <w:pPr>
              <w:pStyle w:val="BodyTextIndent"/>
              <w:ind w:left="0"/>
              <w:jc w:val="both"/>
              <w:rPr>
                <w:sz w:val="22"/>
                <w:szCs w:val="22"/>
              </w:rPr>
            </w:pPr>
            <w:r w:rsidRPr="00B435F3">
              <w:rPr>
                <w:sz w:val="22"/>
                <w:szCs w:val="22"/>
              </w:rPr>
              <w:t xml:space="preserve">Use suitable lidded storage containers with proper insulation. Do not dispense into or transport in a non-insulated </w:t>
            </w:r>
            <w:r w:rsidR="00A866DF" w:rsidRPr="00B435F3">
              <w:rPr>
                <w:sz w:val="22"/>
                <w:szCs w:val="22"/>
              </w:rPr>
              <w:t xml:space="preserve">or non-vented </w:t>
            </w:r>
            <w:r w:rsidRPr="00B435F3">
              <w:rPr>
                <w:sz w:val="22"/>
                <w:szCs w:val="22"/>
              </w:rPr>
              <w:t>container.</w:t>
            </w:r>
          </w:p>
          <w:p w:rsidR="00663964" w:rsidRPr="00B435F3" w:rsidRDefault="00663964" w:rsidP="000D78C4">
            <w:pPr>
              <w:pStyle w:val="BodyTextIndent"/>
              <w:ind w:left="0"/>
              <w:jc w:val="both"/>
              <w:rPr>
                <w:sz w:val="22"/>
                <w:szCs w:val="22"/>
              </w:rPr>
            </w:pPr>
          </w:p>
          <w:p w:rsidR="00663964" w:rsidRPr="00B435F3" w:rsidRDefault="00663964" w:rsidP="000D78C4">
            <w:pPr>
              <w:pStyle w:val="BodyTextIndent"/>
              <w:ind w:left="0"/>
              <w:jc w:val="both"/>
              <w:rPr>
                <w:sz w:val="22"/>
                <w:szCs w:val="22"/>
              </w:rPr>
            </w:pPr>
            <w:r w:rsidRPr="00B435F3">
              <w:rPr>
                <w:sz w:val="22"/>
                <w:szCs w:val="22"/>
              </w:rPr>
              <w:t>Two personnel to be present when large volumes of liquid nitrogen are dispensed.</w:t>
            </w:r>
          </w:p>
          <w:p w:rsidR="00663964" w:rsidRPr="00B435F3" w:rsidRDefault="00663964" w:rsidP="000D78C4">
            <w:pPr>
              <w:pStyle w:val="BodyTextIndent"/>
              <w:ind w:left="0"/>
              <w:jc w:val="both"/>
              <w:rPr>
                <w:sz w:val="22"/>
                <w:szCs w:val="22"/>
              </w:rPr>
            </w:pPr>
          </w:p>
          <w:p w:rsidR="00663964" w:rsidRPr="00B435F3" w:rsidRDefault="00663964" w:rsidP="000D78C4">
            <w:pPr>
              <w:tabs>
                <w:tab w:val="left" w:pos="1276"/>
              </w:tabs>
              <w:jc w:val="both"/>
              <w:rPr>
                <w:sz w:val="22"/>
                <w:szCs w:val="22"/>
              </w:rPr>
            </w:pPr>
            <w:r w:rsidRPr="00B435F3">
              <w:rPr>
                <w:sz w:val="22"/>
                <w:szCs w:val="22"/>
              </w:rPr>
              <w:t>No personnel to enter room when oxygen alarm sounds. Staff to evacuate room when alarm sounds continuously.</w:t>
            </w:r>
          </w:p>
          <w:p w:rsidR="00663964" w:rsidRPr="00B435F3" w:rsidRDefault="00663964" w:rsidP="000D78C4">
            <w:pPr>
              <w:tabs>
                <w:tab w:val="left" w:pos="1276"/>
              </w:tabs>
              <w:jc w:val="both"/>
              <w:rPr>
                <w:sz w:val="22"/>
                <w:szCs w:val="22"/>
              </w:rPr>
            </w:pPr>
          </w:p>
          <w:p w:rsidR="00663964" w:rsidRPr="00B435F3" w:rsidRDefault="00663964" w:rsidP="000D78C4">
            <w:pPr>
              <w:tabs>
                <w:tab w:val="left" w:pos="1276"/>
              </w:tabs>
              <w:jc w:val="both"/>
              <w:rPr>
                <w:sz w:val="22"/>
                <w:szCs w:val="22"/>
              </w:rPr>
            </w:pPr>
            <w:r w:rsidRPr="00B435F3">
              <w:rPr>
                <w:sz w:val="22"/>
                <w:szCs w:val="22"/>
              </w:rPr>
              <w:t>Equipment regularly checked by designated person. Annual check of containers and valves by B.O.C.</w:t>
            </w:r>
          </w:p>
          <w:p w:rsidR="00663964" w:rsidRPr="00B435F3" w:rsidRDefault="00663964" w:rsidP="000D78C4">
            <w:pPr>
              <w:tabs>
                <w:tab w:val="left" w:pos="1276"/>
              </w:tabs>
              <w:jc w:val="both"/>
              <w:rPr>
                <w:sz w:val="22"/>
                <w:szCs w:val="22"/>
              </w:rPr>
            </w:pPr>
          </w:p>
          <w:p w:rsidR="00663964" w:rsidRPr="00B435F3" w:rsidRDefault="00663964" w:rsidP="000D78C4">
            <w:pPr>
              <w:tabs>
                <w:tab w:val="left" w:pos="1276"/>
              </w:tabs>
              <w:jc w:val="both"/>
              <w:rPr>
                <w:sz w:val="22"/>
                <w:szCs w:val="22"/>
              </w:rPr>
            </w:pPr>
            <w:r w:rsidRPr="00B435F3">
              <w:rPr>
                <w:sz w:val="22"/>
                <w:szCs w:val="22"/>
              </w:rPr>
              <w:t>Inspection of the dispensing machinery and room made on a weekly basis.</w:t>
            </w:r>
          </w:p>
          <w:p w:rsidR="00A866DF" w:rsidRPr="00B435F3" w:rsidRDefault="00A866DF" w:rsidP="000D78C4">
            <w:pPr>
              <w:tabs>
                <w:tab w:val="left" w:pos="1276"/>
              </w:tabs>
              <w:jc w:val="both"/>
              <w:rPr>
                <w:sz w:val="22"/>
                <w:szCs w:val="22"/>
              </w:rPr>
            </w:pPr>
          </w:p>
        </w:tc>
        <w:tc>
          <w:tcPr>
            <w:tcW w:w="992" w:type="dxa"/>
            <w:shd w:val="clear" w:color="auto" w:fill="auto"/>
          </w:tcPr>
          <w:p w:rsidR="00663964" w:rsidRPr="00B435F3" w:rsidRDefault="00A866DF" w:rsidP="000D78C4">
            <w:pPr>
              <w:jc w:val="both"/>
              <w:rPr>
                <w:sz w:val="22"/>
                <w:szCs w:val="22"/>
              </w:rPr>
            </w:pPr>
            <w:r w:rsidRPr="00B435F3">
              <w:rPr>
                <w:sz w:val="22"/>
                <w:szCs w:val="22"/>
              </w:rPr>
              <w:t>low</w:t>
            </w:r>
          </w:p>
        </w:tc>
        <w:tc>
          <w:tcPr>
            <w:tcW w:w="927" w:type="dxa"/>
            <w:shd w:val="clear" w:color="auto" w:fill="auto"/>
          </w:tcPr>
          <w:p w:rsidR="00663964" w:rsidRPr="00B435F3" w:rsidRDefault="00A866DF" w:rsidP="000D78C4">
            <w:pPr>
              <w:jc w:val="both"/>
              <w:rPr>
                <w:sz w:val="22"/>
                <w:szCs w:val="22"/>
              </w:rPr>
            </w:pPr>
            <w:r w:rsidRPr="00B435F3">
              <w:rPr>
                <w:sz w:val="22"/>
                <w:szCs w:val="22"/>
              </w:rPr>
              <w:t>A</w:t>
            </w:r>
          </w:p>
        </w:tc>
      </w:tr>
      <w:tr w:rsidR="00663964" w:rsidRPr="00B435F3" w:rsidTr="001C741B">
        <w:tc>
          <w:tcPr>
            <w:tcW w:w="2093" w:type="dxa"/>
            <w:shd w:val="clear" w:color="auto" w:fill="auto"/>
          </w:tcPr>
          <w:p w:rsidR="00663964" w:rsidRPr="00B435F3" w:rsidRDefault="00A866DF" w:rsidP="00A866DF">
            <w:pPr>
              <w:rPr>
                <w:sz w:val="22"/>
                <w:szCs w:val="22"/>
              </w:rPr>
            </w:pPr>
            <w:r w:rsidRPr="00B435F3">
              <w:rPr>
                <w:sz w:val="22"/>
                <w:szCs w:val="22"/>
              </w:rPr>
              <w:t>Lifting liquid nitrogen vessels</w:t>
            </w:r>
          </w:p>
        </w:tc>
        <w:tc>
          <w:tcPr>
            <w:tcW w:w="1984" w:type="dxa"/>
            <w:shd w:val="clear" w:color="auto" w:fill="auto"/>
          </w:tcPr>
          <w:p w:rsidR="00663964" w:rsidRPr="00B435F3" w:rsidRDefault="00663964" w:rsidP="00A866DF">
            <w:pPr>
              <w:snapToGrid w:val="0"/>
              <w:rPr>
                <w:sz w:val="22"/>
                <w:szCs w:val="22"/>
              </w:rPr>
            </w:pPr>
            <w:r w:rsidRPr="00B435F3">
              <w:rPr>
                <w:sz w:val="22"/>
                <w:szCs w:val="22"/>
              </w:rPr>
              <w:t>Manual handling-could suffer damage to back if heavy/bulky items are incorrectly handled</w:t>
            </w:r>
          </w:p>
        </w:tc>
        <w:tc>
          <w:tcPr>
            <w:tcW w:w="1560" w:type="dxa"/>
            <w:shd w:val="clear" w:color="auto" w:fill="auto"/>
          </w:tcPr>
          <w:p w:rsidR="00663964" w:rsidRPr="00B435F3" w:rsidRDefault="00663964" w:rsidP="000D78C4">
            <w:pPr>
              <w:snapToGrid w:val="0"/>
              <w:jc w:val="both"/>
              <w:rPr>
                <w:sz w:val="22"/>
                <w:szCs w:val="22"/>
              </w:rPr>
            </w:pPr>
            <w:r w:rsidRPr="00B435F3">
              <w:rPr>
                <w:sz w:val="22"/>
                <w:szCs w:val="22"/>
              </w:rPr>
              <w:t>Staff</w:t>
            </w:r>
          </w:p>
        </w:tc>
        <w:tc>
          <w:tcPr>
            <w:tcW w:w="6662" w:type="dxa"/>
            <w:shd w:val="clear" w:color="auto" w:fill="auto"/>
          </w:tcPr>
          <w:p w:rsidR="00663964" w:rsidRPr="00B435F3" w:rsidRDefault="00A866DF" w:rsidP="000D78C4">
            <w:pPr>
              <w:snapToGrid w:val="0"/>
              <w:jc w:val="both"/>
              <w:rPr>
                <w:sz w:val="22"/>
                <w:szCs w:val="22"/>
              </w:rPr>
            </w:pPr>
            <w:r w:rsidRPr="00B435F3">
              <w:rPr>
                <w:sz w:val="22"/>
                <w:szCs w:val="22"/>
              </w:rPr>
              <w:t>S</w:t>
            </w:r>
            <w:r w:rsidR="00663964" w:rsidRPr="00B435F3">
              <w:rPr>
                <w:sz w:val="22"/>
                <w:szCs w:val="22"/>
              </w:rPr>
              <w:t>taff trained in correct manual handling techniques.</w:t>
            </w:r>
          </w:p>
          <w:p w:rsidR="00663964" w:rsidRPr="00B435F3" w:rsidRDefault="00663964" w:rsidP="000D78C4">
            <w:pPr>
              <w:jc w:val="both"/>
              <w:rPr>
                <w:sz w:val="22"/>
                <w:szCs w:val="22"/>
              </w:rPr>
            </w:pPr>
            <w:r w:rsidRPr="00B435F3">
              <w:rPr>
                <w:sz w:val="22"/>
                <w:szCs w:val="22"/>
              </w:rPr>
              <w:t>Trolley used to transport heavy items.</w:t>
            </w:r>
          </w:p>
          <w:p w:rsidR="00663964" w:rsidRPr="00B435F3" w:rsidRDefault="00663964" w:rsidP="000D78C4">
            <w:pPr>
              <w:pStyle w:val="BodyTextIndent"/>
              <w:ind w:left="0"/>
              <w:jc w:val="both"/>
              <w:rPr>
                <w:sz w:val="22"/>
                <w:szCs w:val="22"/>
              </w:rPr>
            </w:pPr>
          </w:p>
        </w:tc>
        <w:tc>
          <w:tcPr>
            <w:tcW w:w="992" w:type="dxa"/>
            <w:shd w:val="clear" w:color="auto" w:fill="auto"/>
          </w:tcPr>
          <w:p w:rsidR="00663964" w:rsidRPr="00B435F3" w:rsidRDefault="00663964" w:rsidP="000D78C4">
            <w:pPr>
              <w:snapToGrid w:val="0"/>
              <w:jc w:val="both"/>
              <w:rPr>
                <w:sz w:val="22"/>
                <w:szCs w:val="22"/>
              </w:rPr>
            </w:pPr>
            <w:r w:rsidRPr="00B435F3">
              <w:rPr>
                <w:sz w:val="22"/>
                <w:szCs w:val="22"/>
              </w:rPr>
              <w:t>low</w:t>
            </w:r>
          </w:p>
        </w:tc>
        <w:tc>
          <w:tcPr>
            <w:tcW w:w="927" w:type="dxa"/>
            <w:shd w:val="clear" w:color="auto" w:fill="auto"/>
          </w:tcPr>
          <w:p w:rsidR="00663964" w:rsidRPr="00B435F3" w:rsidRDefault="00663964" w:rsidP="000D78C4">
            <w:pPr>
              <w:snapToGrid w:val="0"/>
              <w:jc w:val="both"/>
              <w:rPr>
                <w:sz w:val="22"/>
                <w:szCs w:val="22"/>
              </w:rPr>
            </w:pPr>
            <w:r w:rsidRPr="00B435F3">
              <w:rPr>
                <w:sz w:val="22"/>
                <w:szCs w:val="22"/>
              </w:rPr>
              <w:t>A</w:t>
            </w:r>
          </w:p>
        </w:tc>
      </w:tr>
    </w:tbl>
    <w:p w:rsidR="005E04D4" w:rsidRPr="00B435F3" w:rsidRDefault="005E04D4" w:rsidP="00405B81">
      <w:pPr>
        <w:jc w:val="both"/>
        <w:rPr>
          <w:sz w:val="22"/>
          <w:szCs w:val="22"/>
        </w:rPr>
      </w:pPr>
    </w:p>
    <w:p w:rsidR="006862C8" w:rsidRPr="00B435F3" w:rsidRDefault="00A866DF" w:rsidP="00405B81">
      <w:pPr>
        <w:jc w:val="both"/>
        <w:rPr>
          <w:sz w:val="22"/>
          <w:szCs w:val="22"/>
        </w:rPr>
      </w:pPr>
      <w:r w:rsidRPr="00B435F3">
        <w:rPr>
          <w:sz w:val="22"/>
          <w:szCs w:val="22"/>
        </w:rPr>
        <w:br w:type="page"/>
      </w:r>
    </w:p>
    <w:tbl>
      <w:tblPr>
        <w:tblW w:w="0" w:type="auto"/>
        <w:tblInd w:w="-10" w:type="dxa"/>
        <w:tblLayout w:type="fixed"/>
        <w:tblLook w:val="0000" w:firstRow="0" w:lastRow="0" w:firstColumn="0" w:lastColumn="0" w:noHBand="0" w:noVBand="0"/>
      </w:tblPr>
      <w:tblGrid>
        <w:gridCol w:w="14238"/>
      </w:tblGrid>
      <w:tr w:rsidR="006862C8" w:rsidRPr="00B435F3">
        <w:trPr>
          <w:trHeight w:val="577"/>
        </w:trPr>
        <w:tc>
          <w:tcPr>
            <w:tcW w:w="14238" w:type="dxa"/>
            <w:tcBorders>
              <w:top w:val="single" w:sz="4" w:space="0" w:color="000000"/>
              <w:left w:val="single" w:sz="4" w:space="0" w:color="000000"/>
              <w:bottom w:val="single" w:sz="4" w:space="0" w:color="000000"/>
              <w:right w:val="single" w:sz="4" w:space="0" w:color="000000"/>
            </w:tcBorders>
            <w:shd w:val="clear" w:color="auto" w:fill="auto"/>
          </w:tcPr>
          <w:p w:rsidR="006862C8" w:rsidRPr="00B435F3" w:rsidRDefault="006862C8" w:rsidP="00405B81">
            <w:pPr>
              <w:snapToGrid w:val="0"/>
              <w:jc w:val="both"/>
              <w:rPr>
                <w:b/>
                <w:sz w:val="22"/>
                <w:szCs w:val="22"/>
                <w:u w:val="single"/>
              </w:rPr>
            </w:pPr>
            <w:r w:rsidRPr="00B435F3">
              <w:rPr>
                <w:b/>
                <w:sz w:val="22"/>
                <w:szCs w:val="22"/>
                <w:u w:val="single"/>
              </w:rPr>
              <w:lastRenderedPageBreak/>
              <w:t xml:space="preserve">Authorisation  by PI </w:t>
            </w:r>
          </w:p>
          <w:p w:rsidR="006862C8" w:rsidRPr="00B435F3" w:rsidRDefault="006862C8" w:rsidP="00405B81">
            <w:pPr>
              <w:jc w:val="both"/>
              <w:rPr>
                <w:b/>
                <w:sz w:val="22"/>
                <w:szCs w:val="22"/>
              </w:rPr>
            </w:pPr>
            <w:r w:rsidRPr="00B435F3">
              <w:rPr>
                <w:b/>
                <w:sz w:val="22"/>
                <w:szCs w:val="22"/>
              </w:rPr>
              <w:t xml:space="preserve">I confirm that I have considered and understand the experiment and the associated hazards. I am satisfied that all of the hazards have been identified and that the control measures to be followed will reduce the risks to acceptable levels. </w:t>
            </w:r>
          </w:p>
          <w:p w:rsidR="006862C8" w:rsidRPr="00B435F3" w:rsidRDefault="006862C8" w:rsidP="00405B81">
            <w:pPr>
              <w:jc w:val="both"/>
              <w:rPr>
                <w:b/>
                <w:sz w:val="22"/>
                <w:szCs w:val="22"/>
              </w:rPr>
            </w:pPr>
          </w:p>
          <w:p w:rsidR="006862C8" w:rsidRPr="00B435F3" w:rsidRDefault="006862C8" w:rsidP="00405B81">
            <w:pPr>
              <w:jc w:val="both"/>
              <w:rPr>
                <w:b/>
                <w:sz w:val="22"/>
                <w:szCs w:val="22"/>
              </w:rPr>
            </w:pPr>
            <w:r w:rsidRPr="00B435F3">
              <w:rPr>
                <w:b/>
                <w:sz w:val="22"/>
                <w:szCs w:val="22"/>
              </w:rPr>
              <w:t>Print name:                                                                                  Signed:</w:t>
            </w:r>
          </w:p>
          <w:p w:rsidR="006862C8" w:rsidRPr="00B435F3" w:rsidRDefault="006862C8" w:rsidP="00405B81">
            <w:pPr>
              <w:jc w:val="both"/>
              <w:rPr>
                <w:b/>
                <w:sz w:val="22"/>
                <w:szCs w:val="22"/>
              </w:rPr>
            </w:pPr>
          </w:p>
          <w:p w:rsidR="006862C8" w:rsidRPr="00B435F3" w:rsidRDefault="006862C8" w:rsidP="00405B81">
            <w:pPr>
              <w:jc w:val="both"/>
              <w:rPr>
                <w:b/>
                <w:sz w:val="22"/>
                <w:szCs w:val="22"/>
              </w:rPr>
            </w:pPr>
            <w:r w:rsidRPr="00B435F3">
              <w:rPr>
                <w:b/>
                <w:sz w:val="22"/>
                <w:szCs w:val="22"/>
              </w:rPr>
              <w:t>Date:</w:t>
            </w:r>
          </w:p>
          <w:p w:rsidR="006862C8" w:rsidRPr="00B435F3" w:rsidRDefault="006862C8" w:rsidP="00405B81">
            <w:pPr>
              <w:jc w:val="both"/>
              <w:rPr>
                <w:b/>
                <w:sz w:val="22"/>
                <w:szCs w:val="22"/>
              </w:rPr>
            </w:pPr>
          </w:p>
        </w:tc>
      </w:tr>
    </w:tbl>
    <w:p w:rsidR="00663964" w:rsidRPr="00B435F3" w:rsidRDefault="00663964" w:rsidP="00405B81">
      <w:pPr>
        <w:jc w:val="both"/>
        <w:rPr>
          <w:b/>
          <w:sz w:val="22"/>
          <w:szCs w:val="22"/>
          <w:u w:val="single"/>
        </w:rPr>
      </w:pPr>
    </w:p>
    <w:p w:rsidR="006862C8" w:rsidRPr="00B435F3" w:rsidRDefault="006862C8" w:rsidP="00405B81">
      <w:pPr>
        <w:jc w:val="both"/>
        <w:rPr>
          <w:b/>
          <w:sz w:val="22"/>
          <w:szCs w:val="22"/>
          <w:u w:val="single"/>
        </w:rPr>
      </w:pPr>
      <w:r w:rsidRPr="00B435F3">
        <w:rPr>
          <w:b/>
          <w:sz w:val="22"/>
          <w:szCs w:val="22"/>
          <w:u w:val="single"/>
        </w:rPr>
        <w:t>Declaration by researcher</w:t>
      </w:r>
    </w:p>
    <w:p w:rsidR="006862C8" w:rsidRPr="00B435F3" w:rsidRDefault="006862C8" w:rsidP="00405B81">
      <w:pPr>
        <w:jc w:val="both"/>
        <w:rPr>
          <w:b/>
          <w:sz w:val="22"/>
          <w:szCs w:val="22"/>
          <w:lang w:eastAsia="en-US"/>
        </w:rPr>
      </w:pPr>
      <w:r w:rsidRPr="00B435F3">
        <w:rPr>
          <w:b/>
          <w:sz w:val="22"/>
          <w:szCs w:val="22"/>
        </w:rPr>
        <w:t>I confirm that I have read this Risk Assessment and that I understand the hazards and risks involved and will follow all of the safety procedures stated.</w:t>
      </w:r>
      <w:r w:rsidR="00C60281" w:rsidRPr="00C60281">
        <w:rPr>
          <w:b/>
          <w:sz w:val="22"/>
          <w:szCs w:val="22"/>
          <w:lang w:eastAsia="en-US"/>
        </w:rPr>
        <w:t xml:space="preserve"> Where PPE has been identified as a control measure, I will ensure that it is worn.</w:t>
      </w:r>
    </w:p>
    <w:p w:rsidR="006862C8" w:rsidRPr="00B435F3" w:rsidRDefault="006862C8" w:rsidP="00405B81">
      <w:pPr>
        <w:jc w:val="both"/>
        <w:rPr>
          <w:b/>
          <w:sz w:val="22"/>
          <w:szCs w:val="22"/>
          <w:u w:val="single"/>
        </w:rPr>
      </w:pPr>
    </w:p>
    <w:p w:rsidR="006862C8" w:rsidRPr="00B435F3" w:rsidRDefault="006862C8" w:rsidP="00405B81">
      <w:pPr>
        <w:jc w:val="both"/>
        <w:rPr>
          <w:b/>
          <w:sz w:val="22"/>
          <w:szCs w:val="22"/>
          <w:u w:val="single"/>
        </w:rPr>
      </w:pPr>
      <w:r w:rsidRPr="00B435F3">
        <w:rPr>
          <w:b/>
          <w:sz w:val="22"/>
          <w:szCs w:val="22"/>
          <w:u w:val="single"/>
        </w:rPr>
        <w:t>Declaration by PI</w:t>
      </w:r>
    </w:p>
    <w:p w:rsidR="006862C8" w:rsidRPr="00B435F3" w:rsidRDefault="006862C8" w:rsidP="00405B81">
      <w:pPr>
        <w:jc w:val="both"/>
        <w:rPr>
          <w:b/>
          <w:sz w:val="22"/>
          <w:szCs w:val="22"/>
        </w:rPr>
      </w:pPr>
      <w:r w:rsidRPr="00B435F3">
        <w:rPr>
          <w:b/>
          <w:sz w:val="22"/>
          <w:szCs w:val="22"/>
        </w:rPr>
        <w:t>I confirm that the researcher who has signed below is competent to undertake the work. My counter-signature indicates that I am happy for the work to proceed.</w:t>
      </w:r>
    </w:p>
    <w:p w:rsidR="006862C8" w:rsidRPr="00B435F3" w:rsidRDefault="006862C8" w:rsidP="00405B81">
      <w:pPr>
        <w:jc w:val="both"/>
        <w:rPr>
          <w:sz w:val="22"/>
          <w:szCs w:val="22"/>
        </w:rPr>
      </w:pPr>
    </w:p>
    <w:tbl>
      <w:tblPr>
        <w:tblW w:w="14238" w:type="dxa"/>
        <w:tblInd w:w="-10" w:type="dxa"/>
        <w:tblLayout w:type="fixed"/>
        <w:tblLook w:val="0000" w:firstRow="0" w:lastRow="0" w:firstColumn="0" w:lastColumn="0" w:noHBand="0" w:noVBand="0"/>
      </w:tblPr>
      <w:tblGrid>
        <w:gridCol w:w="3510"/>
        <w:gridCol w:w="4536"/>
        <w:gridCol w:w="4536"/>
        <w:gridCol w:w="1656"/>
      </w:tblGrid>
      <w:tr w:rsidR="006862C8" w:rsidRPr="00B435F3" w:rsidTr="00A866DF">
        <w:tc>
          <w:tcPr>
            <w:tcW w:w="3510" w:type="dxa"/>
            <w:tcBorders>
              <w:top w:val="single" w:sz="4" w:space="0" w:color="000000"/>
              <w:left w:val="single" w:sz="4" w:space="0" w:color="000000"/>
              <w:bottom w:val="single" w:sz="4" w:space="0" w:color="000000"/>
            </w:tcBorders>
            <w:shd w:val="clear" w:color="auto" w:fill="auto"/>
          </w:tcPr>
          <w:p w:rsidR="006862C8" w:rsidRPr="00B435F3" w:rsidRDefault="006862C8" w:rsidP="00405B81">
            <w:pPr>
              <w:snapToGrid w:val="0"/>
              <w:jc w:val="both"/>
              <w:rPr>
                <w:b/>
                <w:sz w:val="22"/>
                <w:szCs w:val="22"/>
              </w:rPr>
            </w:pPr>
            <w:r w:rsidRPr="00B435F3">
              <w:rPr>
                <w:b/>
                <w:sz w:val="22"/>
                <w:szCs w:val="22"/>
              </w:rPr>
              <w:t>Name (please print)</w:t>
            </w:r>
          </w:p>
          <w:p w:rsidR="006862C8" w:rsidRPr="00B435F3" w:rsidRDefault="006862C8" w:rsidP="00405B81">
            <w:pPr>
              <w:jc w:val="both"/>
              <w:rPr>
                <w:b/>
                <w:sz w:val="22"/>
                <w:szCs w:val="22"/>
              </w:rPr>
            </w:pPr>
          </w:p>
        </w:tc>
        <w:tc>
          <w:tcPr>
            <w:tcW w:w="4536" w:type="dxa"/>
            <w:tcBorders>
              <w:top w:val="single" w:sz="4" w:space="0" w:color="000000"/>
              <w:left w:val="single" w:sz="4" w:space="0" w:color="000000"/>
              <w:bottom w:val="single" w:sz="4" w:space="0" w:color="000000"/>
            </w:tcBorders>
            <w:shd w:val="clear" w:color="auto" w:fill="auto"/>
          </w:tcPr>
          <w:p w:rsidR="006862C8" w:rsidRPr="00B435F3" w:rsidRDefault="006862C8" w:rsidP="00405B81">
            <w:pPr>
              <w:snapToGrid w:val="0"/>
              <w:jc w:val="both"/>
              <w:rPr>
                <w:b/>
                <w:sz w:val="22"/>
                <w:szCs w:val="22"/>
              </w:rPr>
            </w:pPr>
            <w:r w:rsidRPr="00B435F3">
              <w:rPr>
                <w:b/>
                <w:sz w:val="22"/>
                <w:szCs w:val="22"/>
              </w:rPr>
              <w:t>signed</w:t>
            </w:r>
          </w:p>
        </w:tc>
        <w:tc>
          <w:tcPr>
            <w:tcW w:w="4536" w:type="dxa"/>
            <w:tcBorders>
              <w:top w:val="single" w:sz="4" w:space="0" w:color="000000"/>
              <w:left w:val="single" w:sz="4" w:space="0" w:color="000000"/>
              <w:bottom w:val="single" w:sz="4" w:space="0" w:color="000000"/>
            </w:tcBorders>
            <w:shd w:val="clear" w:color="auto" w:fill="auto"/>
          </w:tcPr>
          <w:p w:rsidR="006862C8" w:rsidRPr="00B435F3" w:rsidRDefault="006862C8" w:rsidP="00405B81">
            <w:pPr>
              <w:snapToGrid w:val="0"/>
              <w:jc w:val="both"/>
              <w:rPr>
                <w:b/>
                <w:sz w:val="22"/>
                <w:szCs w:val="22"/>
              </w:rPr>
            </w:pPr>
            <w:r w:rsidRPr="00B435F3">
              <w:rPr>
                <w:b/>
                <w:sz w:val="22"/>
                <w:szCs w:val="22"/>
              </w:rPr>
              <w:t>PI countersignature</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6862C8" w:rsidRPr="00B435F3" w:rsidRDefault="006862C8" w:rsidP="00405B81">
            <w:pPr>
              <w:snapToGrid w:val="0"/>
              <w:jc w:val="both"/>
              <w:rPr>
                <w:b/>
                <w:sz w:val="22"/>
                <w:szCs w:val="22"/>
              </w:rPr>
            </w:pPr>
            <w:r w:rsidRPr="00B435F3">
              <w:rPr>
                <w:b/>
                <w:sz w:val="22"/>
                <w:szCs w:val="22"/>
              </w:rPr>
              <w:t>date</w:t>
            </w:r>
          </w:p>
        </w:tc>
      </w:tr>
      <w:tr w:rsidR="006862C8" w:rsidRPr="00B435F3" w:rsidTr="00A866DF">
        <w:trPr>
          <w:trHeight w:val="679"/>
        </w:trPr>
        <w:tc>
          <w:tcPr>
            <w:tcW w:w="3510" w:type="dxa"/>
            <w:tcBorders>
              <w:top w:val="single" w:sz="4" w:space="0" w:color="000000"/>
              <w:left w:val="single" w:sz="4" w:space="0" w:color="000000"/>
              <w:bottom w:val="single" w:sz="4" w:space="0" w:color="000000"/>
            </w:tcBorders>
            <w:shd w:val="clear" w:color="auto" w:fill="auto"/>
          </w:tcPr>
          <w:p w:rsidR="006862C8" w:rsidRPr="00B435F3" w:rsidRDefault="006862C8" w:rsidP="00405B81">
            <w:pPr>
              <w:snapToGrid w:val="0"/>
              <w:jc w:val="both"/>
              <w:rPr>
                <w:b/>
                <w:sz w:val="22"/>
                <w:szCs w:val="22"/>
              </w:rPr>
            </w:pPr>
          </w:p>
        </w:tc>
        <w:tc>
          <w:tcPr>
            <w:tcW w:w="4536" w:type="dxa"/>
            <w:tcBorders>
              <w:top w:val="single" w:sz="4" w:space="0" w:color="000000"/>
              <w:left w:val="single" w:sz="4" w:space="0" w:color="000000"/>
              <w:bottom w:val="single" w:sz="4" w:space="0" w:color="000000"/>
            </w:tcBorders>
            <w:shd w:val="clear" w:color="auto" w:fill="auto"/>
          </w:tcPr>
          <w:p w:rsidR="006862C8" w:rsidRPr="00B435F3" w:rsidRDefault="006862C8" w:rsidP="00405B81">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6862C8" w:rsidRPr="00B435F3" w:rsidRDefault="006862C8" w:rsidP="00405B81">
            <w:pPr>
              <w:snapToGrid w:val="0"/>
              <w:jc w:val="both"/>
              <w:rPr>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6862C8" w:rsidRPr="00B435F3" w:rsidRDefault="006862C8" w:rsidP="00405B81">
            <w:pPr>
              <w:snapToGrid w:val="0"/>
              <w:jc w:val="both"/>
              <w:rPr>
                <w:sz w:val="22"/>
                <w:szCs w:val="22"/>
              </w:rPr>
            </w:pPr>
          </w:p>
        </w:tc>
      </w:tr>
      <w:tr w:rsidR="006862C8" w:rsidRPr="00B435F3" w:rsidTr="00A866DF">
        <w:trPr>
          <w:trHeight w:val="679"/>
        </w:trPr>
        <w:tc>
          <w:tcPr>
            <w:tcW w:w="3510" w:type="dxa"/>
            <w:tcBorders>
              <w:top w:val="single" w:sz="4" w:space="0" w:color="000000"/>
              <w:left w:val="single" w:sz="4" w:space="0" w:color="000000"/>
              <w:bottom w:val="single" w:sz="4" w:space="0" w:color="000000"/>
            </w:tcBorders>
            <w:shd w:val="clear" w:color="auto" w:fill="auto"/>
          </w:tcPr>
          <w:p w:rsidR="006862C8" w:rsidRPr="00B435F3" w:rsidRDefault="006862C8" w:rsidP="00405B81">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6862C8" w:rsidRPr="00B435F3" w:rsidRDefault="006862C8" w:rsidP="00405B81">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6862C8" w:rsidRPr="00B435F3" w:rsidRDefault="006862C8" w:rsidP="00405B81">
            <w:pPr>
              <w:snapToGrid w:val="0"/>
              <w:jc w:val="both"/>
              <w:rPr>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6862C8" w:rsidRPr="00B435F3" w:rsidRDefault="006862C8" w:rsidP="00405B81">
            <w:pPr>
              <w:snapToGrid w:val="0"/>
              <w:jc w:val="both"/>
              <w:rPr>
                <w:sz w:val="22"/>
                <w:szCs w:val="22"/>
              </w:rPr>
            </w:pPr>
          </w:p>
        </w:tc>
      </w:tr>
      <w:tr w:rsidR="006862C8" w:rsidRPr="00B435F3" w:rsidTr="00A866DF">
        <w:trPr>
          <w:trHeight w:val="680"/>
        </w:trPr>
        <w:tc>
          <w:tcPr>
            <w:tcW w:w="3510" w:type="dxa"/>
            <w:tcBorders>
              <w:top w:val="single" w:sz="4" w:space="0" w:color="000000"/>
              <w:left w:val="single" w:sz="4" w:space="0" w:color="000000"/>
              <w:bottom w:val="single" w:sz="4" w:space="0" w:color="000000"/>
            </w:tcBorders>
            <w:shd w:val="clear" w:color="auto" w:fill="auto"/>
          </w:tcPr>
          <w:p w:rsidR="006862C8" w:rsidRPr="00B435F3" w:rsidRDefault="006862C8" w:rsidP="00405B81">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6862C8" w:rsidRPr="00B435F3" w:rsidRDefault="006862C8" w:rsidP="00405B81">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6862C8" w:rsidRPr="00B435F3" w:rsidRDefault="006862C8" w:rsidP="00405B81">
            <w:pPr>
              <w:snapToGrid w:val="0"/>
              <w:jc w:val="both"/>
              <w:rPr>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6862C8" w:rsidRPr="00B435F3" w:rsidRDefault="006862C8" w:rsidP="00405B81">
            <w:pPr>
              <w:snapToGrid w:val="0"/>
              <w:jc w:val="both"/>
              <w:rPr>
                <w:sz w:val="22"/>
                <w:szCs w:val="22"/>
              </w:rPr>
            </w:pPr>
          </w:p>
        </w:tc>
      </w:tr>
      <w:tr w:rsidR="00B435F3" w:rsidRPr="00B435F3" w:rsidTr="009D6B67">
        <w:trPr>
          <w:trHeight w:val="680"/>
        </w:trPr>
        <w:tc>
          <w:tcPr>
            <w:tcW w:w="3510" w:type="dxa"/>
            <w:tcBorders>
              <w:top w:val="single" w:sz="4" w:space="0" w:color="000000"/>
              <w:left w:val="single" w:sz="4" w:space="0" w:color="000000"/>
              <w:bottom w:val="single" w:sz="4" w:space="0" w:color="000000"/>
            </w:tcBorders>
            <w:shd w:val="clear" w:color="auto" w:fill="auto"/>
          </w:tcPr>
          <w:p w:rsidR="00B435F3" w:rsidRPr="00B435F3" w:rsidRDefault="00B435F3" w:rsidP="009D6B67">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B435F3" w:rsidRPr="00B435F3" w:rsidRDefault="00B435F3" w:rsidP="009D6B67">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B435F3" w:rsidRPr="00B435F3" w:rsidRDefault="00B435F3" w:rsidP="009D6B67">
            <w:pPr>
              <w:snapToGrid w:val="0"/>
              <w:jc w:val="both"/>
              <w:rPr>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B435F3" w:rsidRPr="00B435F3" w:rsidRDefault="00B435F3" w:rsidP="009D6B67">
            <w:pPr>
              <w:snapToGrid w:val="0"/>
              <w:jc w:val="both"/>
              <w:rPr>
                <w:sz w:val="22"/>
                <w:szCs w:val="22"/>
              </w:rPr>
            </w:pPr>
          </w:p>
        </w:tc>
      </w:tr>
      <w:tr w:rsidR="006862C8" w:rsidRPr="00B435F3" w:rsidTr="00A866DF">
        <w:trPr>
          <w:trHeight w:val="680"/>
        </w:trPr>
        <w:tc>
          <w:tcPr>
            <w:tcW w:w="3510" w:type="dxa"/>
            <w:tcBorders>
              <w:top w:val="single" w:sz="4" w:space="0" w:color="000000"/>
              <w:left w:val="single" w:sz="4" w:space="0" w:color="000000"/>
              <w:bottom w:val="single" w:sz="4" w:space="0" w:color="000000"/>
            </w:tcBorders>
            <w:shd w:val="clear" w:color="auto" w:fill="auto"/>
          </w:tcPr>
          <w:p w:rsidR="006862C8" w:rsidRPr="00B435F3" w:rsidRDefault="006862C8" w:rsidP="00405B81">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6862C8" w:rsidRPr="00B435F3" w:rsidRDefault="006862C8" w:rsidP="00405B81">
            <w:pPr>
              <w:snapToGrid w:val="0"/>
              <w:jc w:val="both"/>
              <w:rPr>
                <w:sz w:val="22"/>
                <w:szCs w:val="22"/>
              </w:rPr>
            </w:pPr>
          </w:p>
        </w:tc>
        <w:tc>
          <w:tcPr>
            <w:tcW w:w="4536" w:type="dxa"/>
            <w:tcBorders>
              <w:top w:val="single" w:sz="4" w:space="0" w:color="000000"/>
              <w:left w:val="single" w:sz="4" w:space="0" w:color="000000"/>
              <w:bottom w:val="single" w:sz="4" w:space="0" w:color="000000"/>
            </w:tcBorders>
            <w:shd w:val="clear" w:color="auto" w:fill="auto"/>
          </w:tcPr>
          <w:p w:rsidR="006862C8" w:rsidRPr="00B435F3" w:rsidRDefault="006862C8" w:rsidP="00405B81">
            <w:pPr>
              <w:snapToGrid w:val="0"/>
              <w:jc w:val="both"/>
              <w:rPr>
                <w:sz w:val="22"/>
                <w:szCs w:val="22"/>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rsidR="006862C8" w:rsidRPr="00B435F3" w:rsidRDefault="006862C8" w:rsidP="00405B81">
            <w:pPr>
              <w:snapToGrid w:val="0"/>
              <w:jc w:val="both"/>
              <w:rPr>
                <w:sz w:val="22"/>
                <w:szCs w:val="22"/>
              </w:rPr>
            </w:pPr>
          </w:p>
        </w:tc>
      </w:tr>
    </w:tbl>
    <w:p w:rsidR="006862C8" w:rsidRPr="00B435F3" w:rsidRDefault="006862C8" w:rsidP="00405B81">
      <w:pPr>
        <w:jc w:val="both"/>
        <w:rPr>
          <w:sz w:val="22"/>
          <w:szCs w:val="22"/>
        </w:rPr>
      </w:pPr>
    </w:p>
    <w:sectPr w:rsidR="006862C8" w:rsidRPr="00B435F3">
      <w:pgSz w:w="16838" w:h="11906" w:orient="landscape"/>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Unicode MS"/>
    <w:charset w:val="80"/>
    <w:family w:val="swiss"/>
    <w:pitch w:val="variable"/>
  </w:font>
  <w:font w:name="DejaVu Sans">
    <w:panose1 w:val="020B0603030804020204"/>
    <w:charset w:val="00"/>
    <w:family w:val="swiss"/>
    <w:pitch w:val="variable"/>
    <w:sig w:usb0="E7000EFF" w:usb1="5200FDFF" w:usb2="0A24202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EA"/>
    <w:rsid w:val="000D78C4"/>
    <w:rsid w:val="001C741B"/>
    <w:rsid w:val="00405B81"/>
    <w:rsid w:val="005E04D4"/>
    <w:rsid w:val="00663964"/>
    <w:rsid w:val="006862C8"/>
    <w:rsid w:val="007071EA"/>
    <w:rsid w:val="009B0A92"/>
    <w:rsid w:val="00A866DF"/>
    <w:rsid w:val="00B102FA"/>
    <w:rsid w:val="00B435F3"/>
    <w:rsid w:val="00C60281"/>
    <w:rsid w:val="00D81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BodyTextIndent">
    <w:name w:val="Body Text Indent"/>
    <w:basedOn w:val="Normal"/>
    <w:pPr>
      <w:ind w:left="2835"/>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E0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styleId="BodyTextIndent">
    <w:name w:val="Body Text Indent"/>
    <w:basedOn w:val="Normal"/>
    <w:pPr>
      <w:ind w:left="2835"/>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E0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University of Manchester</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lastModifiedBy>Tanya Aspinall</cp:lastModifiedBy>
  <cp:revision>2</cp:revision>
  <cp:lastPrinted>2007-09-13T09:13:00Z</cp:lastPrinted>
  <dcterms:created xsi:type="dcterms:W3CDTF">2015-02-03T12:43:00Z</dcterms:created>
  <dcterms:modified xsi:type="dcterms:W3CDTF">2015-02-03T12:43:00Z</dcterms:modified>
</cp:coreProperties>
</file>