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807F07" w:rsidRDefault="008139BB">
      <w:pPr>
        <w:pStyle w:val="BodyTextIndent"/>
        <w:rPr>
          <w:sz w:val="22"/>
          <w:szCs w:val="22"/>
          <w:u w:val="single"/>
        </w:rPr>
      </w:pPr>
      <w:r w:rsidRPr="00807F07">
        <w:rPr>
          <w:b/>
          <w:sz w:val="22"/>
          <w:szCs w:val="22"/>
          <w:u w:val="single"/>
        </w:rPr>
        <w:t xml:space="preserve">Manchester </w:t>
      </w:r>
      <w:r w:rsidR="00807F07" w:rsidRPr="00807F07">
        <w:rPr>
          <w:b/>
          <w:sz w:val="22"/>
          <w:szCs w:val="22"/>
          <w:u w:val="single"/>
        </w:rPr>
        <w:t xml:space="preserve">Institute of </w:t>
      </w:r>
      <w:proofErr w:type="gramStart"/>
      <w:r w:rsidR="00807F07" w:rsidRPr="00807F07">
        <w:rPr>
          <w:b/>
          <w:sz w:val="22"/>
          <w:szCs w:val="22"/>
          <w:u w:val="single"/>
        </w:rPr>
        <w:t>Biotechnology</w:t>
      </w:r>
      <w:r w:rsidRPr="00807F07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807F07">
        <w:rPr>
          <w:b/>
          <w:bCs/>
          <w:sz w:val="22"/>
          <w:szCs w:val="22"/>
          <w:u w:val="single"/>
        </w:rPr>
        <w:t xml:space="preserve"> </w:t>
      </w:r>
      <w:r w:rsidR="0005133D" w:rsidRPr="00807F07">
        <w:rPr>
          <w:b/>
          <w:bCs/>
          <w:sz w:val="22"/>
          <w:szCs w:val="22"/>
          <w:u w:val="single"/>
        </w:rPr>
        <w:t>Risk Assessment Form</w:t>
      </w:r>
    </w:p>
    <w:p w:rsidR="0005133D" w:rsidRPr="00807F07" w:rsidRDefault="006A5D28">
      <w:pPr>
        <w:pStyle w:val="BodyTextInden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pt;margin-top:15pt;width:87.9pt;height:84.55pt;z-index:-251658752;mso-position-horizontal-relative:page;mso-position-vertical-relative:page">
            <v:imagedata r:id="rId8" o:title="TUOM_4COL"/>
            <w10:wrap anchorx="page" anchory="page"/>
          </v:shape>
        </w:pict>
      </w:r>
    </w:p>
    <w:p w:rsidR="0020100F" w:rsidRPr="00807F07" w:rsidRDefault="0020100F">
      <w:pPr>
        <w:pStyle w:val="BodyTextIndent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807F07" w:rsidTr="00807F07">
        <w:trPr>
          <w:cantSplit/>
          <w:trHeight w:val="861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807F07" w:rsidRDefault="008F47E5">
            <w:pPr>
              <w:rPr>
                <w:color w:val="FF0000"/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Date:</w:t>
            </w:r>
            <w:r w:rsidR="002D7ABB" w:rsidRPr="00807F07">
              <w:rPr>
                <w:sz w:val="22"/>
                <w:szCs w:val="22"/>
              </w:rPr>
              <w:t xml:space="preserve"> </w:t>
            </w:r>
            <w:r w:rsidR="00807F07" w:rsidRPr="00807F07">
              <w:rPr>
                <w:sz w:val="22"/>
                <w:szCs w:val="22"/>
              </w:rPr>
              <w:t>13/01/</w:t>
            </w:r>
            <w:r w:rsidR="00B41CEA" w:rsidRPr="00807F07">
              <w:rPr>
                <w:sz w:val="22"/>
                <w:szCs w:val="22"/>
              </w:rPr>
              <w:t>15</w:t>
            </w:r>
          </w:p>
          <w:p w:rsidR="008F47E5" w:rsidRPr="00807F07" w:rsidRDefault="008F47E5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139BB" w:rsidRPr="00807F07" w:rsidRDefault="008F47E5">
            <w:pPr>
              <w:rPr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Assessed by</w:t>
            </w:r>
            <w:r w:rsidRPr="00807F07">
              <w:rPr>
                <w:sz w:val="22"/>
                <w:szCs w:val="22"/>
              </w:rPr>
              <w:t>:</w:t>
            </w:r>
            <w:r w:rsidR="002D7ABB" w:rsidRPr="00807F07">
              <w:rPr>
                <w:sz w:val="22"/>
                <w:szCs w:val="22"/>
              </w:rPr>
              <w:t xml:space="preserve"> </w:t>
            </w:r>
          </w:p>
          <w:p w:rsidR="00CA2B83" w:rsidRPr="00807F07" w:rsidRDefault="00AA2080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 xml:space="preserve">Fiona </w:t>
            </w:r>
            <w:r w:rsidR="00B41CEA" w:rsidRPr="00807F07">
              <w:rPr>
                <w:sz w:val="22"/>
                <w:szCs w:val="22"/>
              </w:rPr>
              <w:t>Marriage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807F07" w:rsidRDefault="00B613A2">
            <w:pPr>
              <w:rPr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Validated by</w:t>
            </w:r>
            <w:r w:rsidRPr="00807F07">
              <w:rPr>
                <w:sz w:val="22"/>
                <w:szCs w:val="22"/>
              </w:rPr>
              <w:t>:</w:t>
            </w:r>
            <w:r w:rsidR="002D7ABB" w:rsidRPr="00807F07">
              <w:rPr>
                <w:sz w:val="22"/>
                <w:szCs w:val="22"/>
              </w:rPr>
              <w:t xml:space="preserve"> </w:t>
            </w:r>
          </w:p>
          <w:p w:rsidR="00B613A2" w:rsidRPr="00807F07" w:rsidRDefault="00AA2080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Tanya Aspinall</w:t>
            </w: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AA2080" w:rsidRPr="00807F07" w:rsidRDefault="008F47E5">
            <w:pPr>
              <w:rPr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Location</w:t>
            </w:r>
            <w:r w:rsidRPr="00807F07">
              <w:rPr>
                <w:sz w:val="22"/>
                <w:szCs w:val="22"/>
              </w:rPr>
              <w:t xml:space="preserve">: </w:t>
            </w:r>
          </w:p>
          <w:p w:rsidR="008F47E5" w:rsidRPr="00807F07" w:rsidRDefault="008139BB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MIB</w:t>
            </w:r>
            <w:r w:rsidR="002D7ABB" w:rsidRPr="00807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807F07" w:rsidRDefault="008F47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807F07" w:rsidRDefault="008F47E5">
            <w:pPr>
              <w:rPr>
                <w:b/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Review date:</w:t>
            </w:r>
            <w:r w:rsidR="002D7ABB" w:rsidRPr="00807F07">
              <w:rPr>
                <w:b/>
                <w:sz w:val="22"/>
                <w:szCs w:val="22"/>
              </w:rPr>
              <w:t xml:space="preserve"> </w:t>
            </w:r>
          </w:p>
          <w:p w:rsidR="008139BB" w:rsidRPr="00807F07" w:rsidRDefault="00807F07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12/01/</w:t>
            </w:r>
            <w:r w:rsidR="00B41CEA" w:rsidRPr="00807F07">
              <w:rPr>
                <w:sz w:val="22"/>
                <w:szCs w:val="22"/>
              </w:rPr>
              <w:t>16</w:t>
            </w:r>
          </w:p>
        </w:tc>
      </w:tr>
      <w:tr w:rsidR="00B613A2" w:rsidRPr="00807F07" w:rsidTr="00F62589">
        <w:trPr>
          <w:cantSplit/>
          <w:trHeight w:val="902"/>
          <w:tblHeader/>
          <w:jc w:val="center"/>
        </w:trPr>
        <w:tc>
          <w:tcPr>
            <w:tcW w:w="14175" w:type="dxa"/>
            <w:gridSpan w:val="6"/>
          </w:tcPr>
          <w:p w:rsidR="005650C7" w:rsidRPr="00807F07" w:rsidRDefault="00B613A2" w:rsidP="00506CF3">
            <w:pPr>
              <w:rPr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 xml:space="preserve">Task </w:t>
            </w:r>
          </w:p>
          <w:p w:rsidR="007B0F7F" w:rsidRPr="00807F07" w:rsidRDefault="00546B09" w:rsidP="007B0F7F">
            <w:pPr>
              <w:ind w:left="567"/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 xml:space="preserve">Use of </w:t>
            </w:r>
            <w:r w:rsidR="007B0F7F" w:rsidRPr="00807F07">
              <w:rPr>
                <w:sz w:val="22"/>
                <w:szCs w:val="22"/>
              </w:rPr>
              <w:t xml:space="preserve">Microarray Glass Slide Scanners    -   </w:t>
            </w:r>
            <w:proofErr w:type="spellStart"/>
            <w:r w:rsidR="00F62589" w:rsidRPr="00807F07">
              <w:rPr>
                <w:sz w:val="22"/>
                <w:szCs w:val="22"/>
              </w:rPr>
              <w:t>Innopsys</w:t>
            </w:r>
            <w:proofErr w:type="spellEnd"/>
            <w:r w:rsidR="00F62589" w:rsidRPr="00807F07">
              <w:rPr>
                <w:sz w:val="22"/>
                <w:szCs w:val="22"/>
              </w:rPr>
              <w:t xml:space="preserve"> </w:t>
            </w:r>
            <w:proofErr w:type="spellStart"/>
            <w:r w:rsidR="00F62589" w:rsidRPr="00807F07">
              <w:rPr>
                <w:sz w:val="22"/>
                <w:szCs w:val="22"/>
              </w:rPr>
              <w:t>InnoScan</w:t>
            </w:r>
            <w:proofErr w:type="spellEnd"/>
            <w:r w:rsidR="00F62589" w:rsidRPr="00807F07">
              <w:rPr>
                <w:sz w:val="22"/>
                <w:szCs w:val="22"/>
              </w:rPr>
              <w:t xml:space="preserve"> 700 Scanner </w:t>
            </w:r>
          </w:p>
          <w:p w:rsidR="007B0F7F" w:rsidRPr="00807F07" w:rsidRDefault="007B0F7F" w:rsidP="007B0F7F">
            <w:pPr>
              <w:ind w:left="567"/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 xml:space="preserve">                                                                    -   </w:t>
            </w:r>
            <w:r w:rsidR="0091475D" w:rsidRPr="00807F07">
              <w:rPr>
                <w:sz w:val="22"/>
                <w:szCs w:val="22"/>
              </w:rPr>
              <w:t xml:space="preserve">Affymetrix </w:t>
            </w:r>
            <w:r w:rsidR="00F62589" w:rsidRPr="00807F07">
              <w:rPr>
                <w:sz w:val="22"/>
                <w:szCs w:val="22"/>
              </w:rPr>
              <w:t>428 Scanner</w:t>
            </w:r>
          </w:p>
        </w:tc>
      </w:tr>
    </w:tbl>
    <w:p w:rsidR="0020100F" w:rsidRPr="00807F07" w:rsidRDefault="0020100F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126"/>
        <w:gridCol w:w="1559"/>
        <w:gridCol w:w="6379"/>
        <w:gridCol w:w="913"/>
        <w:gridCol w:w="984"/>
      </w:tblGrid>
      <w:tr w:rsidR="0020100F" w:rsidRPr="00807F07" w:rsidTr="006A5D28">
        <w:trPr>
          <w:cantSplit/>
          <w:tblHeader/>
          <w:jc w:val="center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807F07" w:rsidRDefault="0020100F">
            <w:pPr>
              <w:rPr>
                <w:b/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Activity</w:t>
            </w:r>
            <w:r w:rsidR="002D7ABB" w:rsidRPr="00807F0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807F07" w:rsidRDefault="0020100F">
            <w:pPr>
              <w:rPr>
                <w:b/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Hazard</w:t>
            </w:r>
            <w:r w:rsidR="002D7ABB" w:rsidRPr="00807F0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807F07" w:rsidRDefault="0020100F">
            <w:pPr>
              <w:rPr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Person(s) in dange</w:t>
            </w:r>
            <w:r w:rsidRPr="00807F07">
              <w:rPr>
                <w:sz w:val="22"/>
                <w:szCs w:val="22"/>
              </w:rPr>
              <w:t>r</w:t>
            </w:r>
            <w:r w:rsidR="002D7ABB" w:rsidRPr="00807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807F07" w:rsidRDefault="0020100F">
            <w:pPr>
              <w:rPr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Existing measures to control risk</w:t>
            </w:r>
            <w:r w:rsidR="002D7ABB" w:rsidRPr="00807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807F07" w:rsidRDefault="00BD53AC">
            <w:pPr>
              <w:rPr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Risk rating</w:t>
            </w:r>
            <w:r w:rsidR="002D7ABB" w:rsidRPr="00807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807F07" w:rsidRDefault="0020100F" w:rsidP="00B613A2">
            <w:pPr>
              <w:jc w:val="center"/>
              <w:rPr>
                <w:b/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Result</w:t>
            </w:r>
            <w:r w:rsidR="002D7ABB" w:rsidRPr="00807F0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46B09" w:rsidRPr="00807F07" w:rsidTr="006A5D28">
        <w:trPr>
          <w:cantSplit/>
          <w:trHeight w:val="958"/>
          <w:jc w:val="center"/>
        </w:trPr>
        <w:tc>
          <w:tcPr>
            <w:tcW w:w="2214" w:type="dxa"/>
            <w:tcBorders>
              <w:top w:val="single" w:sz="4" w:space="0" w:color="auto"/>
              <w:bottom w:val="nil"/>
            </w:tcBorders>
          </w:tcPr>
          <w:p w:rsidR="00AA2080" w:rsidRPr="00807F07" w:rsidRDefault="00AA2080" w:rsidP="00AA2080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 xml:space="preserve">Use of </w:t>
            </w:r>
            <w:r w:rsidR="0091475D" w:rsidRPr="00807F07">
              <w:rPr>
                <w:sz w:val="22"/>
                <w:szCs w:val="22"/>
              </w:rPr>
              <w:t>Scanner</w:t>
            </w:r>
            <w:r w:rsidR="009338EF" w:rsidRPr="00807F07">
              <w:rPr>
                <w:sz w:val="22"/>
                <w:szCs w:val="22"/>
              </w:rPr>
              <w:t>s</w:t>
            </w:r>
          </w:p>
          <w:p w:rsidR="00546B09" w:rsidRPr="00807F07" w:rsidRDefault="00546B09" w:rsidP="0085285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46B09" w:rsidRPr="00807F07" w:rsidRDefault="00546B09" w:rsidP="00095720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Electrical hazard - risk of electric shock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6B09" w:rsidRPr="00807F07" w:rsidRDefault="00546B09" w:rsidP="00095720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 xml:space="preserve">Staff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46B09" w:rsidRPr="00807F07" w:rsidRDefault="00301225" w:rsidP="00AA2080">
            <w:pPr>
              <w:jc w:val="both"/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 xml:space="preserve">All </w:t>
            </w:r>
            <w:r w:rsidR="00546B09" w:rsidRPr="00807F07">
              <w:rPr>
                <w:sz w:val="22"/>
                <w:szCs w:val="22"/>
              </w:rPr>
              <w:t xml:space="preserve">equipment </w:t>
            </w:r>
            <w:r w:rsidRPr="00807F07">
              <w:rPr>
                <w:sz w:val="22"/>
                <w:szCs w:val="22"/>
              </w:rPr>
              <w:t>and power supplies are</w:t>
            </w:r>
            <w:r w:rsidR="00546B09" w:rsidRPr="00807F07">
              <w:rPr>
                <w:sz w:val="22"/>
                <w:szCs w:val="22"/>
              </w:rPr>
              <w:t xml:space="preserve"> safety tested and regularly maintained.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546B09" w:rsidRPr="00807F07" w:rsidRDefault="00546B09" w:rsidP="00095720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546B09" w:rsidRPr="00807F07" w:rsidRDefault="00546B09" w:rsidP="00095720">
            <w:pPr>
              <w:jc w:val="center"/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A</w:t>
            </w:r>
          </w:p>
        </w:tc>
      </w:tr>
      <w:tr w:rsidR="00C52193" w:rsidRPr="00807F07" w:rsidTr="006A5D28">
        <w:trPr>
          <w:cantSplit/>
          <w:trHeight w:val="1026"/>
          <w:jc w:val="center"/>
        </w:trPr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:rsidR="00C52193" w:rsidRPr="00807F07" w:rsidRDefault="00C52193" w:rsidP="0085285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2193" w:rsidRPr="00807F07" w:rsidRDefault="00546B09" w:rsidP="00A95292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Trailing electrical leads – risk of slips/trips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2193" w:rsidRPr="00807F07" w:rsidRDefault="00546B09" w:rsidP="00A95292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Staff and others in lab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52193" w:rsidRPr="00807F07" w:rsidRDefault="00301225" w:rsidP="00A95292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All excess leads are coiled and taped to minimise the risk of slip/trips.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C52193" w:rsidRPr="00807F07" w:rsidRDefault="00C52193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52193" w:rsidRPr="00807F07" w:rsidRDefault="00C52193" w:rsidP="00B613A2">
            <w:pPr>
              <w:jc w:val="center"/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A</w:t>
            </w:r>
          </w:p>
        </w:tc>
      </w:tr>
      <w:tr w:rsidR="008008D5" w:rsidRPr="00807F07" w:rsidTr="006A5D28">
        <w:trPr>
          <w:cantSplit/>
          <w:trHeight w:val="1958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5" w:rsidRPr="00807F07" w:rsidRDefault="008008D5" w:rsidP="006840FF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 xml:space="preserve">Use of </w:t>
            </w:r>
            <w:proofErr w:type="spellStart"/>
            <w:r w:rsidR="00483BF7" w:rsidRPr="00807F07">
              <w:rPr>
                <w:sz w:val="22"/>
                <w:szCs w:val="22"/>
              </w:rPr>
              <w:t>Inno</w:t>
            </w:r>
            <w:r w:rsidR="007B0F7F" w:rsidRPr="00807F07">
              <w:rPr>
                <w:sz w:val="22"/>
                <w:szCs w:val="22"/>
              </w:rPr>
              <w:t>Scan</w:t>
            </w:r>
            <w:proofErr w:type="spellEnd"/>
            <w:r w:rsidR="007B0F7F" w:rsidRPr="00807F07">
              <w:rPr>
                <w:sz w:val="22"/>
                <w:szCs w:val="22"/>
              </w:rPr>
              <w:t xml:space="preserve"> 700</w:t>
            </w:r>
            <w:r w:rsidR="00483BF7" w:rsidRPr="00807F07">
              <w:rPr>
                <w:sz w:val="22"/>
                <w:szCs w:val="22"/>
              </w:rPr>
              <w:t xml:space="preserve"> </w:t>
            </w:r>
            <w:r w:rsidRPr="00807F07">
              <w:rPr>
                <w:sz w:val="22"/>
                <w:szCs w:val="22"/>
              </w:rPr>
              <w:t>Scanner</w:t>
            </w:r>
            <w:r w:rsidR="00F62589" w:rsidRPr="00807F07">
              <w:rPr>
                <w:sz w:val="22"/>
                <w:szCs w:val="22"/>
              </w:rPr>
              <w:t xml:space="preserve"> and/or </w:t>
            </w:r>
            <w:proofErr w:type="spellStart"/>
            <w:r w:rsidR="00F62589" w:rsidRPr="00807F07">
              <w:rPr>
                <w:sz w:val="22"/>
                <w:szCs w:val="22"/>
              </w:rPr>
              <w:t>Affymetrix</w:t>
            </w:r>
            <w:proofErr w:type="spellEnd"/>
            <w:r w:rsidR="00F62589" w:rsidRPr="00807F07">
              <w:rPr>
                <w:sz w:val="22"/>
                <w:szCs w:val="22"/>
              </w:rPr>
              <w:t xml:space="preserve"> 428 Scanner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5" w:rsidRPr="00807F07" w:rsidRDefault="008008D5" w:rsidP="006840FF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Laser Risk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5" w:rsidRPr="00807F07" w:rsidRDefault="008008D5" w:rsidP="006840FF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Staff and others in lab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5" w:rsidRDefault="00483BF7" w:rsidP="00447CCA">
            <w:pPr>
              <w:jc w:val="both"/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 xml:space="preserve">Both </w:t>
            </w:r>
            <w:r w:rsidR="009338EF" w:rsidRPr="00807F07">
              <w:rPr>
                <w:sz w:val="22"/>
                <w:szCs w:val="22"/>
              </w:rPr>
              <w:t>scanner</w:t>
            </w:r>
            <w:r w:rsidRPr="00807F07">
              <w:rPr>
                <w:sz w:val="22"/>
                <w:szCs w:val="22"/>
              </w:rPr>
              <w:t>s</w:t>
            </w:r>
            <w:r w:rsidR="00F62589" w:rsidRPr="00807F07">
              <w:rPr>
                <w:sz w:val="22"/>
                <w:szCs w:val="22"/>
              </w:rPr>
              <w:t xml:space="preserve"> are digital confocal laser scanning </w:t>
            </w:r>
            <w:proofErr w:type="spellStart"/>
            <w:r w:rsidR="00F62589" w:rsidRPr="00807F07">
              <w:rPr>
                <w:sz w:val="22"/>
                <w:szCs w:val="22"/>
              </w:rPr>
              <w:t>epifluorescent</w:t>
            </w:r>
            <w:proofErr w:type="spellEnd"/>
            <w:r w:rsidR="00F62589" w:rsidRPr="00807F07">
              <w:rPr>
                <w:sz w:val="22"/>
                <w:szCs w:val="22"/>
              </w:rPr>
              <w:t xml:space="preserve"> microscopes for viewing fluorescent-dye tagged samples on slides. They </w:t>
            </w:r>
            <w:r w:rsidRPr="00807F07">
              <w:rPr>
                <w:sz w:val="22"/>
                <w:szCs w:val="22"/>
              </w:rPr>
              <w:t xml:space="preserve">house two laser diodes </w:t>
            </w:r>
            <w:r w:rsidR="008008D5" w:rsidRPr="00807F07">
              <w:rPr>
                <w:sz w:val="22"/>
                <w:szCs w:val="22"/>
              </w:rPr>
              <w:t xml:space="preserve"> </w:t>
            </w:r>
            <w:r w:rsidRPr="00807F07">
              <w:rPr>
                <w:sz w:val="22"/>
                <w:szCs w:val="22"/>
              </w:rPr>
              <w:t>(635nm and 532nm)</w:t>
            </w:r>
          </w:p>
          <w:p w:rsidR="00560208" w:rsidRPr="00807F07" w:rsidRDefault="00560208" w:rsidP="00447CCA">
            <w:pPr>
              <w:jc w:val="both"/>
              <w:rPr>
                <w:sz w:val="22"/>
                <w:szCs w:val="22"/>
              </w:rPr>
            </w:pPr>
          </w:p>
          <w:p w:rsidR="008008D5" w:rsidRPr="00807F07" w:rsidRDefault="008008D5" w:rsidP="00447CCA">
            <w:pPr>
              <w:jc w:val="both"/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Under normal operating procedures the laser</w:t>
            </w:r>
            <w:r w:rsidR="00F62589" w:rsidRPr="00807F07">
              <w:rPr>
                <w:sz w:val="22"/>
                <w:szCs w:val="22"/>
              </w:rPr>
              <w:t>s</w:t>
            </w:r>
            <w:r w:rsidRPr="00807F07">
              <w:rPr>
                <w:sz w:val="22"/>
                <w:szCs w:val="22"/>
              </w:rPr>
              <w:t xml:space="preserve"> </w:t>
            </w:r>
            <w:r w:rsidR="00F62589" w:rsidRPr="00807F07">
              <w:rPr>
                <w:sz w:val="22"/>
                <w:szCs w:val="22"/>
              </w:rPr>
              <w:t>are</w:t>
            </w:r>
            <w:r w:rsidRPr="00807F07">
              <w:rPr>
                <w:sz w:val="22"/>
                <w:szCs w:val="22"/>
              </w:rPr>
              <w:t xml:space="preserve"> fully enclosed, the user will not come in to contact with the laser and therefore it presents no risk.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5" w:rsidRPr="00807F07" w:rsidRDefault="008008D5" w:rsidP="006840FF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5" w:rsidRPr="00807F07" w:rsidRDefault="008008D5" w:rsidP="006840FF">
            <w:pPr>
              <w:jc w:val="center"/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A</w:t>
            </w:r>
          </w:p>
        </w:tc>
      </w:tr>
      <w:tr w:rsidR="003136B1" w:rsidRPr="00807F07" w:rsidTr="006A5D28">
        <w:trPr>
          <w:cantSplit/>
          <w:trHeight w:val="1561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1" w:rsidRPr="00807F07" w:rsidRDefault="003136B1" w:rsidP="006840FF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lastRenderedPageBreak/>
              <w:t xml:space="preserve">Use of </w:t>
            </w:r>
            <w:r w:rsidR="00F62589" w:rsidRPr="00807F07">
              <w:rPr>
                <w:sz w:val="22"/>
                <w:szCs w:val="22"/>
              </w:rPr>
              <w:t>Scanning</w:t>
            </w:r>
            <w:r w:rsidRPr="00807F07">
              <w:rPr>
                <w:sz w:val="22"/>
                <w:szCs w:val="22"/>
              </w:rPr>
              <w:t xml:space="preserve"> Solutions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1" w:rsidRPr="00807F07" w:rsidRDefault="003136B1" w:rsidP="006840FF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Splash – Skin Contact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1" w:rsidRPr="00807F07" w:rsidRDefault="003136B1" w:rsidP="006840FF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Staff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08" w:rsidRPr="006A5D28" w:rsidRDefault="003136B1" w:rsidP="00447CCA">
            <w:pPr>
              <w:jc w:val="both"/>
              <w:rPr>
                <w:rFonts w:eastAsia="Calibri"/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 xml:space="preserve">Provided all SOPs are followed correctly and </w:t>
            </w:r>
            <w:r w:rsidR="00B41CEA" w:rsidRPr="00807F07">
              <w:rPr>
                <w:sz w:val="22"/>
                <w:szCs w:val="22"/>
              </w:rPr>
              <w:t xml:space="preserve">Howie style </w:t>
            </w:r>
            <w:r w:rsidR="00447CCA">
              <w:rPr>
                <w:sz w:val="22"/>
                <w:szCs w:val="22"/>
              </w:rPr>
              <w:t>lab coats and disposable EN374</w:t>
            </w:r>
            <w:r w:rsidR="00B41CEA" w:rsidRPr="00807F07">
              <w:rPr>
                <w:sz w:val="22"/>
                <w:szCs w:val="22"/>
              </w:rPr>
              <w:t xml:space="preserve"> compliant gloves</w:t>
            </w:r>
            <w:r w:rsidRPr="00807F07">
              <w:rPr>
                <w:sz w:val="22"/>
                <w:szCs w:val="22"/>
              </w:rPr>
              <w:t xml:space="preserve"> are worn whilst carrying out sample preparation the risk of solutions coming in to contact with the skin is minimal.</w:t>
            </w:r>
            <w:r w:rsidR="006A5D28" w:rsidRPr="006A5D28">
              <w:rPr>
                <w:rFonts w:eastAsiaTheme="minorHAnsi"/>
                <w:sz w:val="22"/>
                <w:szCs w:val="22"/>
              </w:rPr>
              <w:t xml:space="preserve"> </w:t>
            </w:r>
            <w:r w:rsidR="006A5D28" w:rsidRPr="006A5D28">
              <w:rPr>
                <w:rFonts w:eastAsia="Calibri"/>
                <w:sz w:val="22"/>
                <w:szCs w:val="22"/>
              </w:rPr>
              <w:t>Regular lab inspections monitor the wearing of PPE; users found not to be wearing PPE when the risk assessment states that it must be worn will be subject to the MIB compliance policy.</w:t>
            </w:r>
          </w:p>
          <w:p w:rsidR="00560208" w:rsidRDefault="00560208" w:rsidP="00447CCA">
            <w:pPr>
              <w:jc w:val="both"/>
              <w:rPr>
                <w:sz w:val="22"/>
                <w:szCs w:val="22"/>
              </w:rPr>
            </w:pPr>
          </w:p>
          <w:p w:rsidR="003136B1" w:rsidRPr="00807F07" w:rsidRDefault="00A548FE" w:rsidP="00447CCA">
            <w:pPr>
              <w:jc w:val="both"/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MSDS sheets are available in the Safety File for all kit components.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1" w:rsidRPr="00807F07" w:rsidRDefault="003136B1" w:rsidP="006840FF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1" w:rsidRPr="00807F07" w:rsidRDefault="003136B1" w:rsidP="006840FF">
            <w:pPr>
              <w:jc w:val="center"/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A</w:t>
            </w:r>
          </w:p>
        </w:tc>
      </w:tr>
      <w:tr w:rsidR="007406AA" w:rsidRPr="00807F07" w:rsidTr="006A5D28">
        <w:trPr>
          <w:cantSplit/>
          <w:trHeight w:val="1189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AA" w:rsidRPr="00807F07" w:rsidRDefault="007406AA" w:rsidP="005D7E7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AA" w:rsidRPr="00807F07" w:rsidRDefault="007406AA" w:rsidP="007406AA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Broken glass – risk of cuts from broken glass slides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AA" w:rsidRPr="00807F07" w:rsidRDefault="007406AA" w:rsidP="005D7E78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Staff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AA" w:rsidRPr="00807F07" w:rsidRDefault="007406AA" w:rsidP="00447CCA">
            <w:pPr>
              <w:jc w:val="both"/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 xml:space="preserve">All glass slides are checked for damage prior to use, and broken/cracked/chipped slides or those damaged during the experimental set up are discarded into the dedicated glass bins for disposal.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AA" w:rsidRPr="00807F07" w:rsidRDefault="007406AA" w:rsidP="005D7E78">
            <w:pPr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AA" w:rsidRPr="00807F07" w:rsidRDefault="007406AA" w:rsidP="005D7E78">
            <w:pPr>
              <w:jc w:val="center"/>
              <w:rPr>
                <w:sz w:val="22"/>
                <w:szCs w:val="22"/>
              </w:rPr>
            </w:pPr>
            <w:r w:rsidRPr="00807F07">
              <w:rPr>
                <w:sz w:val="22"/>
                <w:szCs w:val="22"/>
              </w:rPr>
              <w:t>A</w:t>
            </w:r>
          </w:p>
        </w:tc>
      </w:tr>
    </w:tbl>
    <w:p w:rsidR="00FB3886" w:rsidRPr="00807F07" w:rsidRDefault="00FB3886" w:rsidP="00FB3886">
      <w:pPr>
        <w:jc w:val="both"/>
        <w:rPr>
          <w:sz w:val="22"/>
          <w:szCs w:val="22"/>
        </w:rPr>
      </w:pPr>
    </w:p>
    <w:p w:rsidR="007406AA" w:rsidRPr="00807F07" w:rsidRDefault="007406AA" w:rsidP="00FB3886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218"/>
      </w:tblGrid>
      <w:tr w:rsidR="00FB3886" w:rsidRPr="00807F07" w:rsidTr="007557E3">
        <w:trPr>
          <w:trHeight w:val="577"/>
        </w:trPr>
        <w:tc>
          <w:tcPr>
            <w:tcW w:w="14218" w:type="dxa"/>
          </w:tcPr>
          <w:p w:rsidR="00FB3886" w:rsidRPr="00807F07" w:rsidRDefault="00FB3886" w:rsidP="007557E3">
            <w:pPr>
              <w:jc w:val="both"/>
              <w:rPr>
                <w:color w:val="FF0000"/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FB3886" w:rsidRPr="00807F07" w:rsidRDefault="00FB3886" w:rsidP="007557E3">
            <w:pPr>
              <w:jc w:val="both"/>
              <w:rPr>
                <w:b/>
                <w:sz w:val="22"/>
                <w:szCs w:val="22"/>
              </w:rPr>
            </w:pPr>
          </w:p>
          <w:p w:rsidR="00FB3886" w:rsidRPr="00807F07" w:rsidRDefault="00FB3886" w:rsidP="007557E3">
            <w:pPr>
              <w:jc w:val="both"/>
              <w:rPr>
                <w:b/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FB3886" w:rsidRPr="00807F07" w:rsidRDefault="00FB3886" w:rsidP="007557E3">
            <w:pPr>
              <w:jc w:val="both"/>
              <w:rPr>
                <w:b/>
                <w:sz w:val="22"/>
                <w:szCs w:val="22"/>
              </w:rPr>
            </w:pPr>
          </w:p>
          <w:p w:rsidR="00FB3886" w:rsidRPr="00807F07" w:rsidRDefault="00FB3886" w:rsidP="007557E3">
            <w:pPr>
              <w:jc w:val="both"/>
              <w:rPr>
                <w:b/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FB3886" w:rsidRPr="00807F07" w:rsidRDefault="00FB3886" w:rsidP="007557E3">
            <w:pPr>
              <w:jc w:val="both"/>
              <w:rPr>
                <w:b/>
                <w:sz w:val="22"/>
                <w:szCs w:val="22"/>
              </w:rPr>
            </w:pPr>
          </w:p>
          <w:p w:rsidR="00FB3886" w:rsidRPr="00807F07" w:rsidRDefault="00FB3886" w:rsidP="007557E3">
            <w:pPr>
              <w:jc w:val="both"/>
              <w:rPr>
                <w:b/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Date:</w:t>
            </w:r>
          </w:p>
          <w:p w:rsidR="00FB3886" w:rsidRPr="00807F07" w:rsidRDefault="00FB3886" w:rsidP="007557E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B3886" w:rsidRPr="00807F07" w:rsidRDefault="00FB3886" w:rsidP="00FB3886">
      <w:pPr>
        <w:rPr>
          <w:sz w:val="22"/>
          <w:szCs w:val="22"/>
        </w:rPr>
      </w:pPr>
    </w:p>
    <w:p w:rsidR="00FB3886" w:rsidRPr="00807F07" w:rsidRDefault="00FB3886" w:rsidP="00FB3886">
      <w:pPr>
        <w:jc w:val="both"/>
        <w:rPr>
          <w:sz w:val="22"/>
          <w:szCs w:val="22"/>
        </w:rPr>
      </w:pPr>
      <w:r w:rsidRPr="00807F07">
        <w:rPr>
          <w:b/>
          <w:sz w:val="22"/>
          <w:szCs w:val="22"/>
          <w:u w:val="single"/>
        </w:rPr>
        <w:t>Declaration by researcher</w:t>
      </w:r>
    </w:p>
    <w:p w:rsidR="00FB3886" w:rsidRPr="00807F07" w:rsidRDefault="00FB3886" w:rsidP="00FB3886">
      <w:pPr>
        <w:jc w:val="both"/>
        <w:rPr>
          <w:b/>
          <w:sz w:val="22"/>
          <w:szCs w:val="22"/>
        </w:rPr>
      </w:pPr>
      <w:r w:rsidRPr="00807F07">
        <w:rPr>
          <w:b/>
          <w:sz w:val="22"/>
          <w:szCs w:val="22"/>
        </w:rPr>
        <w:t>I confirm that I have read this Risk Assessment and that I understand the hazards and risks involved and will follow all of the safety procedures stated.</w:t>
      </w:r>
      <w:r w:rsidR="00FD1ED9" w:rsidRPr="00FD1ED9">
        <w:rPr>
          <w:b/>
          <w:sz w:val="22"/>
          <w:szCs w:val="22"/>
        </w:rPr>
        <w:t xml:space="preserve"> Where PPE has been identified as a control measure, I will ensure that it is worn.</w:t>
      </w:r>
    </w:p>
    <w:p w:rsidR="00FB3886" w:rsidRPr="00807F07" w:rsidRDefault="00FB3886" w:rsidP="00FB3886">
      <w:pPr>
        <w:jc w:val="both"/>
        <w:rPr>
          <w:b/>
          <w:sz w:val="22"/>
          <w:szCs w:val="22"/>
          <w:u w:val="single"/>
        </w:rPr>
      </w:pPr>
    </w:p>
    <w:p w:rsidR="00FB3886" w:rsidRPr="00807F07" w:rsidRDefault="00FB3886" w:rsidP="00FB3886">
      <w:pPr>
        <w:jc w:val="both"/>
        <w:rPr>
          <w:sz w:val="22"/>
          <w:szCs w:val="22"/>
        </w:rPr>
      </w:pPr>
      <w:r w:rsidRPr="00807F07">
        <w:rPr>
          <w:b/>
          <w:sz w:val="22"/>
          <w:szCs w:val="22"/>
          <w:u w:val="single"/>
        </w:rPr>
        <w:t>Declaration by PI</w:t>
      </w:r>
    </w:p>
    <w:p w:rsidR="00FB3886" w:rsidRPr="00807F07" w:rsidRDefault="00FB3886" w:rsidP="00FB3886">
      <w:pPr>
        <w:jc w:val="both"/>
        <w:rPr>
          <w:b/>
          <w:sz w:val="22"/>
          <w:szCs w:val="22"/>
        </w:rPr>
      </w:pPr>
      <w:r w:rsidRPr="00807F07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FB3886" w:rsidRPr="00807F07" w:rsidRDefault="00FB3886" w:rsidP="00FB3886">
      <w:pPr>
        <w:jc w:val="both"/>
        <w:rPr>
          <w:sz w:val="22"/>
          <w:szCs w:val="22"/>
        </w:rPr>
      </w:pPr>
    </w:p>
    <w:p w:rsidR="00FB3886" w:rsidRPr="00807F07" w:rsidRDefault="00FB3886" w:rsidP="00FB3886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FB3886" w:rsidRPr="00807F07" w:rsidTr="00807F07">
        <w:trPr>
          <w:trHeight w:val="692"/>
          <w:tblHeader/>
        </w:trPr>
        <w:tc>
          <w:tcPr>
            <w:tcW w:w="3510" w:type="dxa"/>
          </w:tcPr>
          <w:p w:rsidR="00FB3886" w:rsidRPr="00807F07" w:rsidRDefault="00FB3886" w:rsidP="007557E3">
            <w:pPr>
              <w:jc w:val="both"/>
              <w:rPr>
                <w:b/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Name (please print)</w:t>
            </w:r>
          </w:p>
          <w:p w:rsidR="00FB3886" w:rsidRPr="00807F07" w:rsidRDefault="00FB3886" w:rsidP="007557E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807F07" w:rsidRDefault="00FB3886" w:rsidP="007557E3">
            <w:pPr>
              <w:jc w:val="both"/>
              <w:rPr>
                <w:b/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</w:tcPr>
          <w:p w:rsidR="00FB3886" w:rsidRPr="00807F07" w:rsidRDefault="00FB3886" w:rsidP="007557E3">
            <w:pPr>
              <w:jc w:val="both"/>
              <w:rPr>
                <w:b/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</w:tcPr>
          <w:p w:rsidR="00FB3886" w:rsidRPr="00807F07" w:rsidRDefault="00FB3886" w:rsidP="007557E3">
            <w:pPr>
              <w:jc w:val="both"/>
              <w:rPr>
                <w:b/>
                <w:sz w:val="22"/>
                <w:szCs w:val="22"/>
              </w:rPr>
            </w:pPr>
            <w:r w:rsidRPr="00807F07">
              <w:rPr>
                <w:b/>
                <w:sz w:val="22"/>
                <w:szCs w:val="22"/>
              </w:rPr>
              <w:t>date</w:t>
            </w:r>
          </w:p>
        </w:tc>
      </w:tr>
      <w:tr w:rsidR="00FB3886" w:rsidRPr="00807F07" w:rsidTr="007557E3">
        <w:trPr>
          <w:trHeight w:val="679"/>
        </w:trPr>
        <w:tc>
          <w:tcPr>
            <w:tcW w:w="3510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</w:tr>
      <w:tr w:rsidR="00FB3886" w:rsidRPr="00807F07" w:rsidTr="007557E3">
        <w:trPr>
          <w:trHeight w:val="679"/>
        </w:trPr>
        <w:tc>
          <w:tcPr>
            <w:tcW w:w="3510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</w:tr>
      <w:tr w:rsidR="00FB3886" w:rsidRPr="00807F07" w:rsidTr="007557E3">
        <w:trPr>
          <w:trHeight w:val="680"/>
        </w:trPr>
        <w:tc>
          <w:tcPr>
            <w:tcW w:w="3510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</w:tr>
      <w:tr w:rsidR="00FB3886" w:rsidRPr="00807F07" w:rsidTr="007557E3">
        <w:trPr>
          <w:trHeight w:val="680"/>
        </w:trPr>
        <w:tc>
          <w:tcPr>
            <w:tcW w:w="3510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</w:tr>
      <w:tr w:rsidR="00FB3886" w:rsidRPr="00807F07" w:rsidTr="007557E3">
        <w:trPr>
          <w:trHeight w:val="680"/>
        </w:trPr>
        <w:tc>
          <w:tcPr>
            <w:tcW w:w="3510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B3886" w:rsidRPr="00807F07" w:rsidRDefault="00FB3886" w:rsidP="007557E3">
            <w:pPr>
              <w:jc w:val="both"/>
              <w:rPr>
                <w:sz w:val="22"/>
                <w:szCs w:val="22"/>
              </w:rPr>
            </w:pPr>
          </w:p>
        </w:tc>
      </w:tr>
      <w:tr w:rsidR="008008D5" w:rsidRPr="00807F07" w:rsidTr="008008D5">
        <w:trPr>
          <w:trHeight w:val="679"/>
        </w:trPr>
        <w:tc>
          <w:tcPr>
            <w:tcW w:w="3510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</w:tr>
      <w:tr w:rsidR="008008D5" w:rsidRPr="00807F07" w:rsidTr="008008D5">
        <w:trPr>
          <w:trHeight w:val="680"/>
        </w:trPr>
        <w:tc>
          <w:tcPr>
            <w:tcW w:w="3510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</w:tr>
      <w:tr w:rsidR="008008D5" w:rsidRPr="00807F07" w:rsidTr="008008D5">
        <w:trPr>
          <w:trHeight w:val="680"/>
        </w:trPr>
        <w:tc>
          <w:tcPr>
            <w:tcW w:w="3510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</w:tr>
      <w:tr w:rsidR="008008D5" w:rsidRPr="00807F07" w:rsidTr="008008D5">
        <w:trPr>
          <w:trHeight w:val="680"/>
        </w:trPr>
        <w:tc>
          <w:tcPr>
            <w:tcW w:w="3510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</w:tr>
      <w:tr w:rsidR="008008D5" w:rsidRPr="00807F07" w:rsidTr="008008D5">
        <w:trPr>
          <w:trHeight w:val="679"/>
        </w:trPr>
        <w:tc>
          <w:tcPr>
            <w:tcW w:w="3510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08D5" w:rsidRPr="00807F07" w:rsidRDefault="008008D5" w:rsidP="00693087">
            <w:pPr>
              <w:jc w:val="both"/>
              <w:rPr>
                <w:sz w:val="22"/>
                <w:szCs w:val="22"/>
              </w:rPr>
            </w:pPr>
          </w:p>
        </w:tc>
      </w:tr>
      <w:tr w:rsidR="00807F07" w:rsidRPr="00807F07" w:rsidTr="009D6B67">
        <w:trPr>
          <w:trHeight w:val="680"/>
        </w:trPr>
        <w:tc>
          <w:tcPr>
            <w:tcW w:w="3510" w:type="dxa"/>
          </w:tcPr>
          <w:p w:rsidR="00807F07" w:rsidRPr="00807F07" w:rsidRDefault="00807F07" w:rsidP="009D6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7F07" w:rsidRPr="00807F07" w:rsidRDefault="00807F07" w:rsidP="009D6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7F07" w:rsidRPr="00807F07" w:rsidRDefault="00807F07" w:rsidP="009D6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7F07" w:rsidRPr="00807F07" w:rsidRDefault="00807F07" w:rsidP="009D6B67">
            <w:pPr>
              <w:jc w:val="both"/>
              <w:rPr>
                <w:sz w:val="22"/>
                <w:szCs w:val="22"/>
              </w:rPr>
            </w:pPr>
          </w:p>
        </w:tc>
      </w:tr>
    </w:tbl>
    <w:p w:rsidR="008E66BE" w:rsidRPr="00807F07" w:rsidRDefault="008E66BE" w:rsidP="00FB3886">
      <w:pPr>
        <w:jc w:val="both"/>
        <w:rPr>
          <w:sz w:val="22"/>
          <w:szCs w:val="22"/>
        </w:rPr>
      </w:pPr>
      <w:bookmarkStart w:id="0" w:name="_GoBack"/>
      <w:bookmarkEnd w:id="0"/>
    </w:p>
    <w:sectPr w:rsidR="008E66BE" w:rsidRPr="00807F07" w:rsidSect="00FB3886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0D" w:rsidRDefault="005F3E0D">
      <w:r>
        <w:separator/>
      </w:r>
    </w:p>
  </w:endnote>
  <w:endnote w:type="continuationSeparator" w:id="0">
    <w:p w:rsidR="005F3E0D" w:rsidRDefault="005F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0D" w:rsidRDefault="005F3E0D">
      <w:r>
        <w:separator/>
      </w:r>
    </w:p>
  </w:footnote>
  <w:footnote w:type="continuationSeparator" w:id="0">
    <w:p w:rsidR="005F3E0D" w:rsidRDefault="005F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85E"/>
    <w:multiLevelType w:val="singleLevel"/>
    <w:tmpl w:val="ED9AB47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5DF1EBA"/>
    <w:multiLevelType w:val="singleLevel"/>
    <w:tmpl w:val="114AB7C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AF7092A"/>
    <w:multiLevelType w:val="singleLevel"/>
    <w:tmpl w:val="9692E94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FB64E6E"/>
    <w:multiLevelType w:val="singleLevel"/>
    <w:tmpl w:val="1C9E24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6302640"/>
    <w:multiLevelType w:val="hybridMultilevel"/>
    <w:tmpl w:val="25E05EEC"/>
    <w:lvl w:ilvl="0" w:tplc="6128C09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912FF"/>
    <w:multiLevelType w:val="singleLevel"/>
    <w:tmpl w:val="8C1A4A88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</w:rPr>
    </w:lvl>
  </w:abstractNum>
  <w:abstractNum w:abstractNumId="7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007C5"/>
    <w:rsid w:val="000113D7"/>
    <w:rsid w:val="00025E76"/>
    <w:rsid w:val="0005133D"/>
    <w:rsid w:val="000915CE"/>
    <w:rsid w:val="00095720"/>
    <w:rsid w:val="000A486F"/>
    <w:rsid w:val="000A501D"/>
    <w:rsid w:val="000B2DE9"/>
    <w:rsid w:val="001A732B"/>
    <w:rsid w:val="001D46BF"/>
    <w:rsid w:val="001D5D34"/>
    <w:rsid w:val="001D75FC"/>
    <w:rsid w:val="0020100F"/>
    <w:rsid w:val="00201AA9"/>
    <w:rsid w:val="002D7ABB"/>
    <w:rsid w:val="00301225"/>
    <w:rsid w:val="003136B1"/>
    <w:rsid w:val="00364B84"/>
    <w:rsid w:val="00447CCA"/>
    <w:rsid w:val="004837B1"/>
    <w:rsid w:val="00483BF7"/>
    <w:rsid w:val="004A122D"/>
    <w:rsid w:val="004D03A9"/>
    <w:rsid w:val="00506CF3"/>
    <w:rsid w:val="00510D6C"/>
    <w:rsid w:val="005225C9"/>
    <w:rsid w:val="00526ACF"/>
    <w:rsid w:val="00546B09"/>
    <w:rsid w:val="00560208"/>
    <w:rsid w:val="005650C7"/>
    <w:rsid w:val="005816CD"/>
    <w:rsid w:val="005B7D6B"/>
    <w:rsid w:val="005C135F"/>
    <w:rsid w:val="005C78ED"/>
    <w:rsid w:val="005E68E8"/>
    <w:rsid w:val="005F3E0D"/>
    <w:rsid w:val="006840FF"/>
    <w:rsid w:val="00693087"/>
    <w:rsid w:val="0069615C"/>
    <w:rsid w:val="006A5D28"/>
    <w:rsid w:val="00716EB4"/>
    <w:rsid w:val="007406AA"/>
    <w:rsid w:val="007557E3"/>
    <w:rsid w:val="00771A6D"/>
    <w:rsid w:val="00791668"/>
    <w:rsid w:val="007B0117"/>
    <w:rsid w:val="007B0F7F"/>
    <w:rsid w:val="008008D5"/>
    <w:rsid w:val="00807F07"/>
    <w:rsid w:val="008139BB"/>
    <w:rsid w:val="008505A7"/>
    <w:rsid w:val="00852850"/>
    <w:rsid w:val="00856A77"/>
    <w:rsid w:val="008E66BE"/>
    <w:rsid w:val="008F47E5"/>
    <w:rsid w:val="00900F77"/>
    <w:rsid w:val="0091475D"/>
    <w:rsid w:val="009338EF"/>
    <w:rsid w:val="0094583C"/>
    <w:rsid w:val="00945D8B"/>
    <w:rsid w:val="009538CF"/>
    <w:rsid w:val="00964569"/>
    <w:rsid w:val="00976A3D"/>
    <w:rsid w:val="009B0746"/>
    <w:rsid w:val="009E0F87"/>
    <w:rsid w:val="00A548FE"/>
    <w:rsid w:val="00A95292"/>
    <w:rsid w:val="00AA2080"/>
    <w:rsid w:val="00AC4384"/>
    <w:rsid w:val="00AE1A75"/>
    <w:rsid w:val="00B35E07"/>
    <w:rsid w:val="00B41CEA"/>
    <w:rsid w:val="00B549CA"/>
    <w:rsid w:val="00B613A2"/>
    <w:rsid w:val="00B64FC0"/>
    <w:rsid w:val="00BD53AC"/>
    <w:rsid w:val="00C52193"/>
    <w:rsid w:val="00C66350"/>
    <w:rsid w:val="00C87BC5"/>
    <w:rsid w:val="00CA2B83"/>
    <w:rsid w:val="00CE28B5"/>
    <w:rsid w:val="00CE6298"/>
    <w:rsid w:val="00CF7EA9"/>
    <w:rsid w:val="00D15D78"/>
    <w:rsid w:val="00D30F1A"/>
    <w:rsid w:val="00D759D9"/>
    <w:rsid w:val="00D75F63"/>
    <w:rsid w:val="00D863A4"/>
    <w:rsid w:val="00DB7477"/>
    <w:rsid w:val="00DD7A18"/>
    <w:rsid w:val="00E01D5E"/>
    <w:rsid w:val="00E3654D"/>
    <w:rsid w:val="00EF1B73"/>
    <w:rsid w:val="00EF6323"/>
    <w:rsid w:val="00F274F1"/>
    <w:rsid w:val="00F62589"/>
    <w:rsid w:val="00F94837"/>
    <w:rsid w:val="00FB3886"/>
    <w:rsid w:val="00FC21E9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A122D"/>
    <w:pPr>
      <w:spacing w:after="120"/>
    </w:pPr>
  </w:style>
  <w:style w:type="character" w:styleId="Strong">
    <w:name w:val="Strong"/>
    <w:basedOn w:val="DefaultParagraphFont"/>
    <w:qFormat/>
    <w:rsid w:val="00933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2009-11-24T09:14:00Z</cp:lastPrinted>
  <dcterms:created xsi:type="dcterms:W3CDTF">2015-02-03T10:42:00Z</dcterms:created>
  <dcterms:modified xsi:type="dcterms:W3CDTF">2015-02-03T10:42:00Z</dcterms:modified>
</cp:coreProperties>
</file>