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3D" w:rsidRPr="00F46E10" w:rsidRDefault="008139BB" w:rsidP="000A2568">
      <w:pPr>
        <w:pStyle w:val="BodyTextIndent"/>
        <w:jc w:val="both"/>
        <w:rPr>
          <w:sz w:val="22"/>
          <w:szCs w:val="22"/>
          <w:u w:val="single"/>
        </w:rPr>
      </w:pPr>
      <w:r w:rsidRPr="00F46E10">
        <w:rPr>
          <w:b/>
          <w:sz w:val="22"/>
          <w:szCs w:val="22"/>
          <w:u w:val="single"/>
        </w:rPr>
        <w:t xml:space="preserve">Manchester </w:t>
      </w:r>
      <w:r w:rsidR="00665FBE" w:rsidRPr="00F46E10">
        <w:rPr>
          <w:b/>
          <w:sz w:val="22"/>
          <w:szCs w:val="22"/>
          <w:u w:val="single"/>
        </w:rPr>
        <w:t xml:space="preserve">Institute of </w:t>
      </w:r>
      <w:proofErr w:type="gramStart"/>
      <w:r w:rsidR="00665FBE" w:rsidRPr="00F46E10">
        <w:rPr>
          <w:b/>
          <w:sz w:val="22"/>
          <w:szCs w:val="22"/>
          <w:u w:val="single"/>
        </w:rPr>
        <w:t>Biotechnology</w:t>
      </w:r>
      <w:r w:rsidRPr="00F46E10">
        <w:rPr>
          <w:b/>
          <w:bCs/>
          <w:sz w:val="22"/>
          <w:szCs w:val="22"/>
          <w:u w:val="single"/>
        </w:rPr>
        <w:t xml:space="preserve">  -</w:t>
      </w:r>
      <w:proofErr w:type="gramEnd"/>
      <w:r w:rsidRPr="00F46E10">
        <w:rPr>
          <w:b/>
          <w:bCs/>
          <w:sz w:val="22"/>
          <w:szCs w:val="22"/>
          <w:u w:val="single"/>
        </w:rPr>
        <w:t xml:space="preserve"> </w:t>
      </w:r>
      <w:r w:rsidR="0005133D" w:rsidRPr="00F46E10">
        <w:rPr>
          <w:b/>
          <w:bCs/>
          <w:sz w:val="22"/>
          <w:szCs w:val="22"/>
          <w:u w:val="single"/>
        </w:rPr>
        <w:t xml:space="preserve">Risk Assessment </w:t>
      </w:r>
    </w:p>
    <w:p w:rsidR="0005133D" w:rsidRPr="00F46E10" w:rsidRDefault="0020100F" w:rsidP="000A2568">
      <w:pPr>
        <w:pStyle w:val="BodyTextIndent"/>
        <w:jc w:val="both"/>
        <w:rPr>
          <w:sz w:val="22"/>
          <w:szCs w:val="22"/>
        </w:rPr>
      </w:pPr>
      <w:r w:rsidRPr="00F46E10">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15pt;width:87.9pt;height:84.55pt;z-index:-251658752;mso-position-horizontal-relative:page;mso-position-vertical-relative:page">
            <v:imagedata r:id="rId8" o:title="TUOM_4COL"/>
            <w10:wrap anchorx="page" anchory="page"/>
          </v:shape>
        </w:pict>
      </w:r>
    </w:p>
    <w:p w:rsidR="0020100F" w:rsidRPr="00F46E10" w:rsidRDefault="0020100F" w:rsidP="000A2568">
      <w:pPr>
        <w:pStyle w:val="BodyTextIndent"/>
        <w:jc w:val="both"/>
        <w:rPr>
          <w:sz w:val="22"/>
          <w:szCs w:val="22"/>
        </w:rPr>
      </w:pPr>
    </w:p>
    <w:tbl>
      <w:tblPr>
        <w:tblW w:w="14109" w:type="dxa"/>
        <w:jc w:val="center"/>
        <w:tblInd w:w="-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1897"/>
        <w:gridCol w:w="3969"/>
        <w:gridCol w:w="3260"/>
        <w:gridCol w:w="2944"/>
        <w:gridCol w:w="2039"/>
      </w:tblGrid>
      <w:tr w:rsidR="00FD7865" w:rsidRPr="00F46E10" w:rsidTr="00F46E10">
        <w:tblPrEx>
          <w:tblCellMar>
            <w:top w:w="0" w:type="dxa"/>
            <w:bottom w:w="0" w:type="dxa"/>
          </w:tblCellMar>
        </w:tblPrEx>
        <w:trPr>
          <w:cantSplit/>
          <w:trHeight w:val="647"/>
          <w:tblHeader/>
          <w:jc w:val="center"/>
        </w:trPr>
        <w:tc>
          <w:tcPr>
            <w:tcW w:w="1897" w:type="dxa"/>
            <w:shd w:val="clear" w:color="auto" w:fill="CCFFCC"/>
          </w:tcPr>
          <w:p w:rsidR="00FD7865" w:rsidRPr="00F46E10" w:rsidRDefault="00FD7865" w:rsidP="000A2568">
            <w:pPr>
              <w:jc w:val="both"/>
              <w:rPr>
                <w:color w:val="FF0000"/>
                <w:sz w:val="22"/>
                <w:szCs w:val="22"/>
              </w:rPr>
            </w:pPr>
            <w:r w:rsidRPr="00F46E10">
              <w:rPr>
                <w:b/>
                <w:sz w:val="22"/>
                <w:szCs w:val="22"/>
              </w:rPr>
              <w:t>Date:</w:t>
            </w:r>
          </w:p>
          <w:p w:rsidR="00FD7865" w:rsidRPr="00F46E10" w:rsidRDefault="0096166B" w:rsidP="000A2568">
            <w:pPr>
              <w:jc w:val="both"/>
              <w:rPr>
                <w:sz w:val="22"/>
                <w:szCs w:val="22"/>
              </w:rPr>
            </w:pPr>
            <w:r w:rsidRPr="00F46E10">
              <w:rPr>
                <w:sz w:val="22"/>
                <w:szCs w:val="22"/>
              </w:rPr>
              <w:t>Feb 2015</w:t>
            </w:r>
          </w:p>
        </w:tc>
        <w:tc>
          <w:tcPr>
            <w:tcW w:w="3969" w:type="dxa"/>
            <w:shd w:val="clear" w:color="auto" w:fill="CCFFCC"/>
          </w:tcPr>
          <w:p w:rsidR="00FD7865" w:rsidRPr="00F46E10" w:rsidRDefault="00FD7865" w:rsidP="000A2568">
            <w:pPr>
              <w:jc w:val="both"/>
              <w:rPr>
                <w:color w:val="FF0000"/>
                <w:sz w:val="22"/>
                <w:szCs w:val="22"/>
              </w:rPr>
            </w:pPr>
            <w:r w:rsidRPr="00F46E10">
              <w:rPr>
                <w:b/>
                <w:sz w:val="22"/>
                <w:szCs w:val="22"/>
              </w:rPr>
              <w:t>Assessed by</w:t>
            </w:r>
            <w:r w:rsidRPr="00F46E10">
              <w:rPr>
                <w:sz w:val="22"/>
                <w:szCs w:val="22"/>
              </w:rPr>
              <w:t xml:space="preserve">: </w:t>
            </w:r>
          </w:p>
          <w:p w:rsidR="00FD7865" w:rsidRPr="00F46E10" w:rsidRDefault="0096166B" w:rsidP="000A2568">
            <w:pPr>
              <w:jc w:val="both"/>
              <w:rPr>
                <w:sz w:val="22"/>
                <w:szCs w:val="22"/>
              </w:rPr>
            </w:pPr>
            <w:r w:rsidRPr="00F46E10">
              <w:rPr>
                <w:sz w:val="22"/>
                <w:szCs w:val="22"/>
              </w:rPr>
              <w:t>Colin Levy</w:t>
            </w:r>
          </w:p>
        </w:tc>
        <w:tc>
          <w:tcPr>
            <w:tcW w:w="3260" w:type="dxa"/>
            <w:shd w:val="clear" w:color="auto" w:fill="CCFFCC"/>
          </w:tcPr>
          <w:p w:rsidR="00FD7865" w:rsidRPr="00F46E10" w:rsidRDefault="00FD7865" w:rsidP="000A2568">
            <w:pPr>
              <w:jc w:val="both"/>
              <w:rPr>
                <w:sz w:val="22"/>
                <w:szCs w:val="22"/>
              </w:rPr>
            </w:pPr>
            <w:r w:rsidRPr="00F46E10">
              <w:rPr>
                <w:b/>
                <w:sz w:val="22"/>
                <w:szCs w:val="22"/>
              </w:rPr>
              <w:t>Validated by</w:t>
            </w:r>
            <w:r w:rsidRPr="00F46E10">
              <w:rPr>
                <w:sz w:val="22"/>
                <w:szCs w:val="22"/>
              </w:rPr>
              <w:t xml:space="preserve">: </w:t>
            </w:r>
          </w:p>
          <w:p w:rsidR="00FD7865" w:rsidRPr="00F46E10" w:rsidRDefault="00F46E10" w:rsidP="000A2568">
            <w:pPr>
              <w:jc w:val="both"/>
              <w:rPr>
                <w:sz w:val="22"/>
                <w:szCs w:val="22"/>
              </w:rPr>
            </w:pPr>
            <w:r>
              <w:rPr>
                <w:sz w:val="22"/>
                <w:szCs w:val="22"/>
              </w:rPr>
              <w:t>Tanya Aspinall</w:t>
            </w:r>
          </w:p>
        </w:tc>
        <w:tc>
          <w:tcPr>
            <w:tcW w:w="2944" w:type="dxa"/>
            <w:shd w:val="clear" w:color="auto" w:fill="CCFFCC"/>
          </w:tcPr>
          <w:p w:rsidR="00F46E10" w:rsidRDefault="00FD7865" w:rsidP="000A2568">
            <w:pPr>
              <w:jc w:val="both"/>
              <w:rPr>
                <w:color w:val="FF0000"/>
                <w:sz w:val="22"/>
                <w:szCs w:val="22"/>
              </w:rPr>
            </w:pPr>
            <w:r w:rsidRPr="00F46E10">
              <w:rPr>
                <w:b/>
                <w:sz w:val="22"/>
                <w:szCs w:val="22"/>
              </w:rPr>
              <w:t>Location</w:t>
            </w:r>
            <w:r w:rsidRPr="00F46E10">
              <w:rPr>
                <w:sz w:val="22"/>
                <w:szCs w:val="22"/>
              </w:rPr>
              <w:t xml:space="preserve">: </w:t>
            </w:r>
          </w:p>
          <w:p w:rsidR="0096166B" w:rsidRPr="00F46E10" w:rsidRDefault="00FD7865" w:rsidP="00F46E10">
            <w:pPr>
              <w:jc w:val="both"/>
              <w:rPr>
                <w:sz w:val="22"/>
                <w:szCs w:val="22"/>
              </w:rPr>
            </w:pPr>
            <w:r w:rsidRPr="00F46E10">
              <w:rPr>
                <w:sz w:val="22"/>
                <w:szCs w:val="22"/>
              </w:rPr>
              <w:t>MIB</w:t>
            </w:r>
            <w:r w:rsidR="00F46E10">
              <w:rPr>
                <w:sz w:val="22"/>
                <w:szCs w:val="22"/>
              </w:rPr>
              <w:t xml:space="preserve"> </w:t>
            </w:r>
            <w:r w:rsidR="0096166B" w:rsidRPr="00F46E10">
              <w:rPr>
                <w:sz w:val="22"/>
                <w:szCs w:val="22"/>
              </w:rPr>
              <w:t>LG027</w:t>
            </w:r>
          </w:p>
          <w:p w:rsidR="00FD7865" w:rsidRPr="00F46E10" w:rsidRDefault="00FD7865" w:rsidP="0096166B">
            <w:pPr>
              <w:rPr>
                <w:sz w:val="22"/>
                <w:szCs w:val="22"/>
              </w:rPr>
            </w:pPr>
          </w:p>
        </w:tc>
        <w:tc>
          <w:tcPr>
            <w:tcW w:w="2039" w:type="dxa"/>
            <w:shd w:val="clear" w:color="auto" w:fill="CCFFCC"/>
          </w:tcPr>
          <w:p w:rsidR="00FD7865" w:rsidRPr="00F46E10" w:rsidRDefault="00FD7865" w:rsidP="000A2568">
            <w:pPr>
              <w:jc w:val="both"/>
              <w:rPr>
                <w:b/>
                <w:sz w:val="22"/>
                <w:szCs w:val="22"/>
              </w:rPr>
            </w:pPr>
            <w:r w:rsidRPr="00F46E10">
              <w:rPr>
                <w:b/>
                <w:sz w:val="22"/>
                <w:szCs w:val="22"/>
              </w:rPr>
              <w:t xml:space="preserve">Review date: </w:t>
            </w:r>
          </w:p>
          <w:p w:rsidR="00FD7865" w:rsidRPr="00F46E10" w:rsidRDefault="0096166B" w:rsidP="000A2568">
            <w:pPr>
              <w:jc w:val="both"/>
              <w:rPr>
                <w:sz w:val="22"/>
                <w:szCs w:val="22"/>
              </w:rPr>
            </w:pPr>
            <w:r w:rsidRPr="00F46E10">
              <w:rPr>
                <w:sz w:val="22"/>
                <w:szCs w:val="22"/>
              </w:rPr>
              <w:t>Feb 2016</w:t>
            </w:r>
          </w:p>
        </w:tc>
      </w:tr>
    </w:tbl>
    <w:p w:rsidR="00FD7865" w:rsidRPr="00F46E10" w:rsidRDefault="00FD7865">
      <w:pPr>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B613A2" w:rsidRPr="00F46E10">
        <w:tblPrEx>
          <w:tblCellMar>
            <w:top w:w="0" w:type="dxa"/>
            <w:bottom w:w="0" w:type="dxa"/>
          </w:tblCellMar>
        </w:tblPrEx>
        <w:trPr>
          <w:cantSplit/>
          <w:tblHeader/>
          <w:jc w:val="center"/>
        </w:trPr>
        <w:tc>
          <w:tcPr>
            <w:tcW w:w="14175" w:type="dxa"/>
          </w:tcPr>
          <w:p w:rsidR="002D7ABB" w:rsidRPr="00F46E10" w:rsidRDefault="00B613A2" w:rsidP="000A2568">
            <w:pPr>
              <w:jc w:val="both"/>
              <w:rPr>
                <w:sz w:val="22"/>
                <w:szCs w:val="22"/>
              </w:rPr>
            </w:pPr>
            <w:r w:rsidRPr="00F46E10">
              <w:rPr>
                <w:b/>
                <w:sz w:val="22"/>
                <w:szCs w:val="22"/>
              </w:rPr>
              <w:t>Task</w:t>
            </w:r>
            <w:r w:rsidRPr="00F46E10">
              <w:rPr>
                <w:sz w:val="22"/>
                <w:szCs w:val="22"/>
              </w:rPr>
              <w:t>:</w:t>
            </w:r>
            <w:r w:rsidR="002D7ABB" w:rsidRPr="00F46E10">
              <w:rPr>
                <w:sz w:val="22"/>
                <w:szCs w:val="22"/>
              </w:rPr>
              <w:t xml:space="preserve"> </w:t>
            </w:r>
          </w:p>
          <w:p w:rsidR="0005133D" w:rsidRPr="00F46E10" w:rsidRDefault="001C7A8B" w:rsidP="002821B8">
            <w:pPr>
              <w:ind w:left="567"/>
              <w:jc w:val="both"/>
              <w:rPr>
                <w:sz w:val="22"/>
                <w:szCs w:val="22"/>
              </w:rPr>
            </w:pPr>
            <w:r w:rsidRPr="00F46E10">
              <w:rPr>
                <w:sz w:val="22"/>
                <w:szCs w:val="22"/>
              </w:rPr>
              <w:t>Use of Mosquito Pipetting Robot</w:t>
            </w:r>
          </w:p>
        </w:tc>
      </w:tr>
    </w:tbl>
    <w:p w:rsidR="0020100F" w:rsidRPr="00F46E10" w:rsidRDefault="0020100F" w:rsidP="000A2568">
      <w:pPr>
        <w:jc w:val="both"/>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1559"/>
        <w:gridCol w:w="1559"/>
        <w:gridCol w:w="6946"/>
        <w:gridCol w:w="1055"/>
        <w:gridCol w:w="984"/>
      </w:tblGrid>
      <w:tr w:rsidR="0020100F" w:rsidRPr="00F46E10" w:rsidTr="00F46E10">
        <w:tblPrEx>
          <w:tblCellMar>
            <w:top w:w="0" w:type="dxa"/>
            <w:bottom w:w="0" w:type="dxa"/>
          </w:tblCellMar>
        </w:tblPrEx>
        <w:trPr>
          <w:cantSplit/>
          <w:tblHeader/>
          <w:jc w:val="center"/>
        </w:trPr>
        <w:tc>
          <w:tcPr>
            <w:tcW w:w="2072" w:type="dxa"/>
            <w:shd w:val="clear" w:color="auto" w:fill="CCFFCC"/>
          </w:tcPr>
          <w:p w:rsidR="0020100F" w:rsidRPr="00F46E10" w:rsidRDefault="0020100F" w:rsidP="000A2568">
            <w:pPr>
              <w:jc w:val="both"/>
              <w:rPr>
                <w:b/>
                <w:sz w:val="22"/>
                <w:szCs w:val="22"/>
              </w:rPr>
            </w:pPr>
            <w:r w:rsidRPr="00F46E10">
              <w:rPr>
                <w:b/>
                <w:sz w:val="22"/>
                <w:szCs w:val="22"/>
              </w:rPr>
              <w:t>Activity</w:t>
            </w:r>
          </w:p>
        </w:tc>
        <w:tc>
          <w:tcPr>
            <w:tcW w:w="1559" w:type="dxa"/>
            <w:shd w:val="clear" w:color="auto" w:fill="CCFFCC"/>
          </w:tcPr>
          <w:p w:rsidR="0020100F" w:rsidRPr="00F46E10" w:rsidRDefault="0020100F" w:rsidP="00F46E10">
            <w:pPr>
              <w:jc w:val="both"/>
              <w:rPr>
                <w:b/>
                <w:sz w:val="22"/>
                <w:szCs w:val="22"/>
              </w:rPr>
            </w:pPr>
            <w:r w:rsidRPr="00F46E10">
              <w:rPr>
                <w:b/>
                <w:sz w:val="22"/>
                <w:szCs w:val="22"/>
              </w:rPr>
              <w:t>Hazard</w:t>
            </w:r>
            <w:r w:rsidR="002D7ABB" w:rsidRPr="00F46E10">
              <w:rPr>
                <w:b/>
                <w:sz w:val="22"/>
                <w:szCs w:val="22"/>
              </w:rPr>
              <w:t xml:space="preserve"> </w:t>
            </w:r>
          </w:p>
        </w:tc>
        <w:tc>
          <w:tcPr>
            <w:tcW w:w="1559" w:type="dxa"/>
            <w:shd w:val="clear" w:color="auto" w:fill="CCFFCC"/>
          </w:tcPr>
          <w:p w:rsidR="0020100F" w:rsidRPr="00F46E10" w:rsidRDefault="0020100F" w:rsidP="00F46E10">
            <w:pPr>
              <w:jc w:val="both"/>
              <w:rPr>
                <w:sz w:val="22"/>
                <w:szCs w:val="22"/>
              </w:rPr>
            </w:pPr>
            <w:r w:rsidRPr="00F46E10">
              <w:rPr>
                <w:b/>
                <w:sz w:val="22"/>
                <w:szCs w:val="22"/>
              </w:rPr>
              <w:t>Person(s) in danger</w:t>
            </w:r>
            <w:r w:rsidR="002D7ABB" w:rsidRPr="00F46E10">
              <w:rPr>
                <w:b/>
                <w:sz w:val="22"/>
                <w:szCs w:val="22"/>
              </w:rPr>
              <w:t xml:space="preserve"> </w:t>
            </w:r>
          </w:p>
        </w:tc>
        <w:tc>
          <w:tcPr>
            <w:tcW w:w="6946" w:type="dxa"/>
            <w:shd w:val="clear" w:color="auto" w:fill="CCFFCC"/>
          </w:tcPr>
          <w:p w:rsidR="0020100F" w:rsidRPr="00F46E10" w:rsidRDefault="0020100F" w:rsidP="000A2568">
            <w:pPr>
              <w:jc w:val="both"/>
              <w:rPr>
                <w:sz w:val="22"/>
                <w:szCs w:val="22"/>
              </w:rPr>
            </w:pPr>
            <w:r w:rsidRPr="00F46E10">
              <w:rPr>
                <w:b/>
                <w:sz w:val="22"/>
                <w:szCs w:val="22"/>
              </w:rPr>
              <w:t>Existing measures to control risk</w:t>
            </w:r>
            <w:r w:rsidR="002D7ABB" w:rsidRPr="00F46E10">
              <w:rPr>
                <w:sz w:val="22"/>
                <w:szCs w:val="22"/>
              </w:rPr>
              <w:t xml:space="preserve"> </w:t>
            </w:r>
          </w:p>
        </w:tc>
        <w:tc>
          <w:tcPr>
            <w:tcW w:w="1055" w:type="dxa"/>
            <w:shd w:val="clear" w:color="auto" w:fill="CCFFCC"/>
          </w:tcPr>
          <w:p w:rsidR="0020100F" w:rsidRPr="00F46E10" w:rsidRDefault="00BD53AC" w:rsidP="000A2568">
            <w:pPr>
              <w:jc w:val="both"/>
              <w:rPr>
                <w:sz w:val="22"/>
                <w:szCs w:val="22"/>
              </w:rPr>
            </w:pPr>
            <w:r w:rsidRPr="00F46E10">
              <w:rPr>
                <w:b/>
                <w:sz w:val="22"/>
                <w:szCs w:val="22"/>
              </w:rPr>
              <w:t>Risk rating</w:t>
            </w:r>
            <w:r w:rsidR="002D7ABB" w:rsidRPr="00F46E10">
              <w:rPr>
                <w:sz w:val="22"/>
                <w:szCs w:val="22"/>
              </w:rPr>
              <w:t xml:space="preserve"> </w:t>
            </w:r>
          </w:p>
        </w:tc>
        <w:tc>
          <w:tcPr>
            <w:tcW w:w="984" w:type="dxa"/>
            <w:shd w:val="clear" w:color="auto" w:fill="CCFFCC"/>
          </w:tcPr>
          <w:p w:rsidR="0020100F" w:rsidRPr="00F46E10" w:rsidRDefault="0020100F" w:rsidP="000A2568">
            <w:pPr>
              <w:jc w:val="both"/>
              <w:rPr>
                <w:b/>
                <w:sz w:val="22"/>
                <w:szCs w:val="22"/>
              </w:rPr>
            </w:pPr>
            <w:r w:rsidRPr="00F46E10">
              <w:rPr>
                <w:b/>
                <w:sz w:val="22"/>
                <w:szCs w:val="22"/>
              </w:rPr>
              <w:t>Result</w:t>
            </w:r>
            <w:r w:rsidR="002D7ABB" w:rsidRPr="00F46E10">
              <w:rPr>
                <w:b/>
                <w:sz w:val="22"/>
                <w:szCs w:val="22"/>
              </w:rPr>
              <w:t xml:space="preserve"> </w:t>
            </w:r>
          </w:p>
          <w:p w:rsidR="00690FCB" w:rsidRPr="00F46E10" w:rsidRDefault="00690FCB" w:rsidP="000A2568">
            <w:pPr>
              <w:jc w:val="both"/>
              <w:rPr>
                <w:color w:val="FF0000"/>
                <w:sz w:val="22"/>
                <w:szCs w:val="22"/>
              </w:rPr>
            </w:pPr>
          </w:p>
        </w:tc>
      </w:tr>
      <w:tr w:rsidR="001C7A8B" w:rsidRPr="00F46E10" w:rsidTr="00F46E10">
        <w:tblPrEx>
          <w:tblCellMar>
            <w:top w:w="0" w:type="dxa"/>
            <w:bottom w:w="0" w:type="dxa"/>
          </w:tblCellMar>
        </w:tblPrEx>
        <w:trPr>
          <w:trHeight w:val="3571"/>
          <w:jc w:val="center"/>
        </w:trPr>
        <w:tc>
          <w:tcPr>
            <w:tcW w:w="2072" w:type="dxa"/>
          </w:tcPr>
          <w:p w:rsidR="001C7A8B" w:rsidRPr="00F46E10" w:rsidRDefault="001C7A8B" w:rsidP="000A2568">
            <w:pPr>
              <w:jc w:val="both"/>
              <w:rPr>
                <w:sz w:val="22"/>
                <w:szCs w:val="22"/>
              </w:rPr>
            </w:pPr>
            <w:r w:rsidRPr="00F46E10">
              <w:rPr>
                <w:sz w:val="22"/>
                <w:szCs w:val="22"/>
              </w:rPr>
              <w:t>Use of electrical Equipment</w:t>
            </w:r>
          </w:p>
          <w:p w:rsidR="001C7A8B" w:rsidRPr="00F46E10" w:rsidRDefault="001C7A8B" w:rsidP="000A2568">
            <w:pPr>
              <w:jc w:val="both"/>
              <w:rPr>
                <w:sz w:val="22"/>
                <w:szCs w:val="22"/>
              </w:rPr>
            </w:pPr>
          </w:p>
        </w:tc>
        <w:tc>
          <w:tcPr>
            <w:tcW w:w="1559" w:type="dxa"/>
          </w:tcPr>
          <w:p w:rsidR="001C7A8B" w:rsidRPr="00F46E10" w:rsidRDefault="001C7A8B" w:rsidP="000A2568">
            <w:pPr>
              <w:jc w:val="both"/>
              <w:rPr>
                <w:sz w:val="22"/>
                <w:szCs w:val="22"/>
              </w:rPr>
            </w:pPr>
            <w:r w:rsidRPr="00F46E10">
              <w:rPr>
                <w:sz w:val="22"/>
                <w:szCs w:val="22"/>
              </w:rPr>
              <w:t>Risk of electric shock</w:t>
            </w:r>
          </w:p>
        </w:tc>
        <w:tc>
          <w:tcPr>
            <w:tcW w:w="1559" w:type="dxa"/>
          </w:tcPr>
          <w:p w:rsidR="001C7A8B" w:rsidRPr="00F46E10" w:rsidRDefault="001C7A8B" w:rsidP="000A2568">
            <w:pPr>
              <w:jc w:val="both"/>
              <w:rPr>
                <w:sz w:val="22"/>
                <w:szCs w:val="22"/>
              </w:rPr>
            </w:pPr>
            <w:r w:rsidRPr="00F46E10">
              <w:rPr>
                <w:sz w:val="22"/>
                <w:szCs w:val="22"/>
              </w:rPr>
              <w:t>User</w:t>
            </w:r>
          </w:p>
        </w:tc>
        <w:tc>
          <w:tcPr>
            <w:tcW w:w="6946" w:type="dxa"/>
          </w:tcPr>
          <w:p w:rsidR="001C7A8B" w:rsidRPr="00F46E10" w:rsidRDefault="001C7A8B" w:rsidP="001C7A8B">
            <w:pPr>
              <w:jc w:val="both"/>
              <w:rPr>
                <w:sz w:val="22"/>
                <w:szCs w:val="22"/>
              </w:rPr>
            </w:pPr>
            <w:r w:rsidRPr="00F46E10">
              <w:rPr>
                <w:sz w:val="22"/>
                <w:szCs w:val="22"/>
              </w:rPr>
              <w:t xml:space="preserve">During training by Dr C. Levy, all users are made aware of potential risks from electric shocks. </w:t>
            </w:r>
          </w:p>
          <w:p w:rsidR="001C7A8B" w:rsidRPr="00F46E10" w:rsidRDefault="001C7A8B" w:rsidP="001C7A8B">
            <w:pPr>
              <w:jc w:val="both"/>
              <w:rPr>
                <w:sz w:val="22"/>
                <w:szCs w:val="22"/>
              </w:rPr>
            </w:pPr>
            <w:r w:rsidRPr="00F46E10">
              <w:rPr>
                <w:sz w:val="22"/>
                <w:szCs w:val="22"/>
              </w:rPr>
              <w:t>All users should have attended a basic health and safety course where part of the instruction covers risks from electric shocks and first aid procedures in the event of a shock.</w:t>
            </w:r>
          </w:p>
          <w:p w:rsidR="001C7A8B" w:rsidRPr="00F46E10" w:rsidRDefault="001C7A8B" w:rsidP="001C7A8B">
            <w:pPr>
              <w:jc w:val="both"/>
              <w:rPr>
                <w:sz w:val="22"/>
                <w:szCs w:val="22"/>
              </w:rPr>
            </w:pPr>
            <w:r w:rsidRPr="00F46E10">
              <w:rPr>
                <w:sz w:val="22"/>
                <w:szCs w:val="22"/>
              </w:rPr>
              <w:t>All equipment is annually test</w:t>
            </w:r>
            <w:r w:rsidR="00F46E10">
              <w:rPr>
                <w:sz w:val="22"/>
                <w:szCs w:val="22"/>
              </w:rPr>
              <w:t xml:space="preserve">ed (PA testing). Equipment </w:t>
            </w:r>
            <w:proofErr w:type="spellStart"/>
            <w:r w:rsidR="00F46E10">
              <w:rPr>
                <w:sz w:val="22"/>
                <w:szCs w:val="22"/>
              </w:rPr>
              <w:t>with</w:t>
            </w:r>
            <w:r w:rsidRPr="00F46E10">
              <w:rPr>
                <w:sz w:val="22"/>
                <w:szCs w:val="22"/>
              </w:rPr>
              <w:t>out</w:t>
            </w:r>
            <w:proofErr w:type="spellEnd"/>
            <w:r w:rsidRPr="00F46E10">
              <w:rPr>
                <w:sz w:val="22"/>
                <w:szCs w:val="22"/>
              </w:rPr>
              <w:t xml:space="preserve"> of date, failed or untested labels are not be used until retested. </w:t>
            </w:r>
          </w:p>
          <w:p w:rsidR="001C7A8B" w:rsidRPr="00F46E10" w:rsidRDefault="001C7A8B" w:rsidP="001C7A8B">
            <w:pPr>
              <w:jc w:val="both"/>
              <w:rPr>
                <w:sz w:val="22"/>
                <w:szCs w:val="22"/>
              </w:rPr>
            </w:pPr>
            <w:r w:rsidRPr="00F46E10">
              <w:rPr>
                <w:sz w:val="22"/>
                <w:szCs w:val="22"/>
              </w:rPr>
              <w:t>Any obvious danger, sparks/damaged cables are reported immediately to technical staff and the equipment not used or switched off if in use.</w:t>
            </w:r>
          </w:p>
          <w:p w:rsidR="001C7A8B" w:rsidRPr="00F46E10" w:rsidRDefault="001C7A8B" w:rsidP="001C7A8B">
            <w:pPr>
              <w:jc w:val="both"/>
              <w:rPr>
                <w:sz w:val="22"/>
                <w:szCs w:val="22"/>
              </w:rPr>
            </w:pPr>
            <w:r w:rsidRPr="00F46E10">
              <w:rPr>
                <w:sz w:val="22"/>
                <w:szCs w:val="22"/>
                <w:lang w:val="en-US"/>
              </w:rPr>
              <w:t xml:space="preserve">Any faults associated with the equipment </w:t>
            </w:r>
            <w:r w:rsidR="00F46E10">
              <w:rPr>
                <w:sz w:val="22"/>
                <w:szCs w:val="22"/>
                <w:lang w:val="en-US"/>
              </w:rPr>
              <w:t>must</w:t>
            </w:r>
            <w:r w:rsidRPr="00F46E10">
              <w:rPr>
                <w:sz w:val="22"/>
                <w:szCs w:val="22"/>
                <w:lang w:val="en-US"/>
              </w:rPr>
              <w:t xml:space="preserve"> be reported immediately to the person in charge of the laboratory. </w:t>
            </w:r>
            <w:proofErr w:type="spellStart"/>
            <w:r w:rsidRPr="00F46E10">
              <w:rPr>
                <w:sz w:val="22"/>
                <w:szCs w:val="22"/>
                <w:lang w:val="en-US"/>
              </w:rPr>
              <w:t>Unauthorised</w:t>
            </w:r>
            <w:proofErr w:type="spellEnd"/>
            <w:r w:rsidRPr="00F46E10">
              <w:rPr>
                <w:sz w:val="22"/>
                <w:szCs w:val="22"/>
                <w:lang w:val="en-US"/>
              </w:rPr>
              <w:t xml:space="preserve">/untrained personnel </w:t>
            </w:r>
            <w:r w:rsidR="00F46E10">
              <w:rPr>
                <w:sz w:val="22"/>
                <w:szCs w:val="22"/>
                <w:lang w:val="en-US"/>
              </w:rPr>
              <w:t>must</w:t>
            </w:r>
            <w:r w:rsidRPr="00F46E10">
              <w:rPr>
                <w:sz w:val="22"/>
                <w:szCs w:val="22"/>
                <w:lang w:val="en-US"/>
              </w:rPr>
              <w:t xml:space="preserve"> not attempt to dismantle any part of the equipment for any purpose.</w:t>
            </w:r>
          </w:p>
        </w:tc>
        <w:tc>
          <w:tcPr>
            <w:tcW w:w="1055" w:type="dxa"/>
          </w:tcPr>
          <w:p w:rsidR="001C7A8B" w:rsidRPr="00F46E10" w:rsidRDefault="001C7A8B" w:rsidP="000A2568">
            <w:pPr>
              <w:jc w:val="both"/>
              <w:rPr>
                <w:sz w:val="22"/>
                <w:szCs w:val="22"/>
              </w:rPr>
            </w:pPr>
            <w:r w:rsidRPr="00F46E10">
              <w:rPr>
                <w:sz w:val="22"/>
                <w:szCs w:val="22"/>
              </w:rPr>
              <w:t>L</w:t>
            </w:r>
          </w:p>
        </w:tc>
        <w:tc>
          <w:tcPr>
            <w:tcW w:w="984" w:type="dxa"/>
          </w:tcPr>
          <w:p w:rsidR="001C7A8B" w:rsidRPr="00F46E10" w:rsidRDefault="001C7A8B" w:rsidP="000A2568">
            <w:pPr>
              <w:jc w:val="both"/>
              <w:rPr>
                <w:sz w:val="22"/>
                <w:szCs w:val="22"/>
              </w:rPr>
            </w:pPr>
            <w:r w:rsidRPr="00F46E10">
              <w:rPr>
                <w:sz w:val="22"/>
                <w:szCs w:val="22"/>
              </w:rPr>
              <w:t>T</w:t>
            </w:r>
          </w:p>
        </w:tc>
      </w:tr>
      <w:tr w:rsidR="001C7A8B" w:rsidRPr="00F46E10" w:rsidTr="00F46E10">
        <w:tblPrEx>
          <w:tblCellMar>
            <w:top w:w="0" w:type="dxa"/>
            <w:bottom w:w="0" w:type="dxa"/>
          </w:tblCellMar>
        </w:tblPrEx>
        <w:trPr>
          <w:jc w:val="center"/>
        </w:trPr>
        <w:tc>
          <w:tcPr>
            <w:tcW w:w="2072" w:type="dxa"/>
          </w:tcPr>
          <w:p w:rsidR="001C7A8B" w:rsidRPr="00F46E10" w:rsidRDefault="001C7A8B" w:rsidP="000A2568">
            <w:pPr>
              <w:jc w:val="both"/>
              <w:rPr>
                <w:sz w:val="22"/>
                <w:szCs w:val="22"/>
              </w:rPr>
            </w:pPr>
            <w:r w:rsidRPr="00F46E10">
              <w:rPr>
                <w:sz w:val="22"/>
                <w:szCs w:val="22"/>
              </w:rPr>
              <w:t>Use of Mosquito for setting up crystallisation trays</w:t>
            </w:r>
          </w:p>
        </w:tc>
        <w:tc>
          <w:tcPr>
            <w:tcW w:w="1559" w:type="dxa"/>
          </w:tcPr>
          <w:p w:rsidR="001C7A8B" w:rsidRPr="00F46E10" w:rsidRDefault="001C7A8B" w:rsidP="000A2568">
            <w:pPr>
              <w:jc w:val="both"/>
              <w:rPr>
                <w:sz w:val="22"/>
                <w:szCs w:val="22"/>
              </w:rPr>
            </w:pPr>
            <w:r w:rsidRPr="00F46E10">
              <w:rPr>
                <w:sz w:val="22"/>
                <w:szCs w:val="22"/>
              </w:rPr>
              <w:t>Moving machinery, Sharps hazard</w:t>
            </w:r>
          </w:p>
        </w:tc>
        <w:tc>
          <w:tcPr>
            <w:tcW w:w="1559" w:type="dxa"/>
          </w:tcPr>
          <w:p w:rsidR="001C7A8B" w:rsidRPr="00F46E10" w:rsidRDefault="001C7A8B" w:rsidP="000A2568">
            <w:pPr>
              <w:jc w:val="both"/>
              <w:rPr>
                <w:sz w:val="22"/>
                <w:szCs w:val="22"/>
              </w:rPr>
            </w:pPr>
            <w:r w:rsidRPr="00F46E10">
              <w:rPr>
                <w:sz w:val="22"/>
                <w:szCs w:val="22"/>
              </w:rPr>
              <w:t>User</w:t>
            </w:r>
          </w:p>
        </w:tc>
        <w:tc>
          <w:tcPr>
            <w:tcW w:w="6946" w:type="dxa"/>
          </w:tcPr>
          <w:p w:rsidR="001C7A8B" w:rsidRPr="00F46E10" w:rsidRDefault="001C7A8B" w:rsidP="001C7A8B">
            <w:pPr>
              <w:jc w:val="both"/>
              <w:rPr>
                <w:sz w:val="22"/>
                <w:szCs w:val="22"/>
              </w:rPr>
            </w:pPr>
            <w:r w:rsidRPr="00F46E10">
              <w:rPr>
                <w:sz w:val="22"/>
                <w:szCs w:val="22"/>
              </w:rPr>
              <w:t xml:space="preserve">Keep bench area delineated by tape clear of any object during operation. The moving deck of the mosquito will traverse the hatched area during normal operation. Particular attention should be made to avoid placing any part of their body in the path of the moving deck. </w:t>
            </w:r>
            <w:proofErr w:type="spellStart"/>
            <w:r w:rsidRPr="00F46E10">
              <w:rPr>
                <w:sz w:val="22"/>
                <w:szCs w:val="22"/>
              </w:rPr>
              <w:t>Dr.</w:t>
            </w:r>
            <w:proofErr w:type="spellEnd"/>
            <w:r w:rsidRPr="00F46E10">
              <w:rPr>
                <w:sz w:val="22"/>
                <w:szCs w:val="22"/>
              </w:rPr>
              <w:t xml:space="preserve"> C. Levy highlights this potential hazard to users during training and the area of danger is clearly identified on the bench.</w:t>
            </w:r>
          </w:p>
          <w:p w:rsidR="001C7A8B" w:rsidRPr="00F46E10" w:rsidRDefault="001C7A8B" w:rsidP="001C7A8B">
            <w:pPr>
              <w:jc w:val="both"/>
              <w:rPr>
                <w:sz w:val="22"/>
                <w:szCs w:val="22"/>
              </w:rPr>
            </w:pPr>
          </w:p>
          <w:p w:rsidR="001C7A8B" w:rsidRPr="00F46E10" w:rsidRDefault="001C7A8B" w:rsidP="001C7A8B">
            <w:pPr>
              <w:jc w:val="both"/>
              <w:rPr>
                <w:sz w:val="22"/>
                <w:szCs w:val="22"/>
              </w:rPr>
            </w:pPr>
            <w:r w:rsidRPr="00F46E10">
              <w:rPr>
                <w:sz w:val="22"/>
                <w:szCs w:val="22"/>
              </w:rPr>
              <w:t xml:space="preserve">Once the robot has been loaded users must not, under any circumstances, place hands into the robot operating area until the </w:t>
            </w:r>
            <w:r w:rsidRPr="00F46E10">
              <w:rPr>
                <w:sz w:val="22"/>
                <w:szCs w:val="22"/>
              </w:rPr>
              <w:lastRenderedPageBreak/>
              <w:t>selected protocol has either deliberately paused or ended.</w:t>
            </w:r>
          </w:p>
          <w:p w:rsidR="001C7A8B" w:rsidRPr="00F46E10" w:rsidRDefault="001C7A8B" w:rsidP="001C7A8B">
            <w:pPr>
              <w:jc w:val="both"/>
              <w:rPr>
                <w:sz w:val="22"/>
                <w:szCs w:val="22"/>
              </w:rPr>
            </w:pPr>
            <w:r w:rsidRPr="00F46E10">
              <w:rPr>
                <w:sz w:val="22"/>
                <w:szCs w:val="22"/>
              </w:rPr>
              <w:t xml:space="preserve">Used mosquito tips are a potential sharps hazard and users </w:t>
            </w:r>
            <w:r w:rsidR="00F46E10">
              <w:rPr>
                <w:sz w:val="22"/>
                <w:szCs w:val="22"/>
              </w:rPr>
              <w:t>must</w:t>
            </w:r>
            <w:r w:rsidRPr="00F46E10">
              <w:rPr>
                <w:sz w:val="22"/>
                <w:szCs w:val="22"/>
              </w:rPr>
              <w:t xml:space="preserve"> dispose of them appropriately in the sharps bins provided. Instruction on their proper handling is provided during training on this equipment.</w:t>
            </w:r>
          </w:p>
          <w:p w:rsidR="001C7A8B" w:rsidRPr="00F46E10" w:rsidRDefault="001C7A8B" w:rsidP="001C7A8B">
            <w:pPr>
              <w:jc w:val="both"/>
              <w:rPr>
                <w:sz w:val="22"/>
                <w:szCs w:val="22"/>
              </w:rPr>
            </w:pPr>
          </w:p>
          <w:p w:rsidR="001C7A8B" w:rsidRPr="00F46E10" w:rsidRDefault="00F46E10" w:rsidP="001C7A8B">
            <w:pPr>
              <w:jc w:val="both"/>
              <w:rPr>
                <w:sz w:val="22"/>
                <w:szCs w:val="22"/>
              </w:rPr>
            </w:pPr>
            <w:r w:rsidRPr="00F46E10">
              <w:rPr>
                <w:sz w:val="22"/>
                <w:szCs w:val="22"/>
              </w:rPr>
              <w:t xml:space="preserve">The following items of PPE must be worn </w:t>
            </w:r>
            <w:r w:rsidRPr="00F46E10">
              <w:rPr>
                <w:sz w:val="22"/>
                <w:szCs w:val="22"/>
              </w:rPr>
              <w:t>when handling chemical screening plates</w:t>
            </w:r>
            <w:r w:rsidRPr="00F46E10">
              <w:rPr>
                <w:sz w:val="22"/>
                <w:szCs w:val="22"/>
              </w:rPr>
              <w:t>: Howie-style laboratory coat</w:t>
            </w:r>
            <w:r>
              <w:rPr>
                <w:sz w:val="22"/>
                <w:szCs w:val="22"/>
              </w:rPr>
              <w:t xml:space="preserve"> and</w:t>
            </w:r>
            <w:r w:rsidRPr="00F46E10">
              <w:rPr>
                <w:sz w:val="22"/>
                <w:szCs w:val="22"/>
              </w:rPr>
              <w:t xml:space="preserve"> BS EN374 compliant gloves (nitrile)</w:t>
            </w:r>
            <w:r>
              <w:rPr>
                <w:sz w:val="22"/>
                <w:szCs w:val="22"/>
              </w:rPr>
              <w:t xml:space="preserve">. </w:t>
            </w:r>
            <w:r w:rsidRPr="00F46E10">
              <w:rPr>
                <w:sz w:val="22"/>
                <w:szCs w:val="22"/>
              </w:rPr>
              <w:t>Regular lab inspections monitor the wearing of PPE; users found not to be wearing PPE when the risk assessment states that it must be worn will be subject to the MIB compliance policy.</w:t>
            </w:r>
          </w:p>
        </w:tc>
        <w:tc>
          <w:tcPr>
            <w:tcW w:w="1055" w:type="dxa"/>
          </w:tcPr>
          <w:p w:rsidR="001C7A8B" w:rsidRPr="00F46E10" w:rsidRDefault="001C7A8B" w:rsidP="000A2568">
            <w:pPr>
              <w:jc w:val="both"/>
              <w:rPr>
                <w:sz w:val="22"/>
                <w:szCs w:val="22"/>
              </w:rPr>
            </w:pPr>
            <w:r w:rsidRPr="00F46E10">
              <w:rPr>
                <w:sz w:val="22"/>
                <w:szCs w:val="22"/>
              </w:rPr>
              <w:lastRenderedPageBreak/>
              <w:t>L</w:t>
            </w:r>
          </w:p>
        </w:tc>
        <w:tc>
          <w:tcPr>
            <w:tcW w:w="984" w:type="dxa"/>
          </w:tcPr>
          <w:p w:rsidR="001C7A8B" w:rsidRPr="00F46E10" w:rsidRDefault="001C7A8B" w:rsidP="000A2568">
            <w:pPr>
              <w:jc w:val="both"/>
              <w:rPr>
                <w:sz w:val="22"/>
                <w:szCs w:val="22"/>
              </w:rPr>
            </w:pPr>
            <w:r w:rsidRPr="00F46E10">
              <w:rPr>
                <w:sz w:val="22"/>
                <w:szCs w:val="22"/>
              </w:rPr>
              <w:t>T</w:t>
            </w:r>
          </w:p>
        </w:tc>
      </w:tr>
      <w:tr w:rsidR="001C7A8B" w:rsidRPr="00F46E10" w:rsidTr="00F46E10">
        <w:tblPrEx>
          <w:tblCellMar>
            <w:top w:w="0" w:type="dxa"/>
            <w:bottom w:w="0" w:type="dxa"/>
          </w:tblCellMar>
        </w:tblPrEx>
        <w:trPr>
          <w:cantSplit/>
          <w:jc w:val="center"/>
        </w:trPr>
        <w:tc>
          <w:tcPr>
            <w:tcW w:w="2072" w:type="dxa"/>
          </w:tcPr>
          <w:p w:rsidR="001C7A8B" w:rsidRPr="00F46E10" w:rsidRDefault="001C7A8B" w:rsidP="000A2568">
            <w:pPr>
              <w:jc w:val="both"/>
              <w:rPr>
                <w:sz w:val="22"/>
                <w:szCs w:val="22"/>
              </w:rPr>
            </w:pPr>
            <w:r w:rsidRPr="00F46E10">
              <w:rPr>
                <w:sz w:val="22"/>
                <w:szCs w:val="22"/>
              </w:rPr>
              <w:lastRenderedPageBreak/>
              <w:t xml:space="preserve">Use of </w:t>
            </w:r>
            <w:proofErr w:type="spellStart"/>
            <w:r w:rsidRPr="00F46E10">
              <w:rPr>
                <w:sz w:val="22"/>
                <w:szCs w:val="22"/>
              </w:rPr>
              <w:t>Crystallogenic</w:t>
            </w:r>
            <w:proofErr w:type="spellEnd"/>
            <w:r w:rsidRPr="00F46E10">
              <w:rPr>
                <w:sz w:val="22"/>
                <w:szCs w:val="22"/>
              </w:rPr>
              <w:t xml:space="preserve"> screens</w:t>
            </w:r>
          </w:p>
        </w:tc>
        <w:tc>
          <w:tcPr>
            <w:tcW w:w="1559" w:type="dxa"/>
          </w:tcPr>
          <w:p w:rsidR="001C7A8B" w:rsidRPr="00F46E10" w:rsidRDefault="001C7A8B" w:rsidP="000A2568">
            <w:pPr>
              <w:jc w:val="both"/>
              <w:rPr>
                <w:sz w:val="22"/>
                <w:szCs w:val="22"/>
              </w:rPr>
            </w:pPr>
            <w:r w:rsidRPr="00F46E10">
              <w:rPr>
                <w:sz w:val="22"/>
                <w:szCs w:val="22"/>
              </w:rPr>
              <w:t>Chemical Hazard</w:t>
            </w:r>
          </w:p>
        </w:tc>
        <w:tc>
          <w:tcPr>
            <w:tcW w:w="1559" w:type="dxa"/>
          </w:tcPr>
          <w:p w:rsidR="001C7A8B" w:rsidRPr="00F46E10" w:rsidRDefault="001C7A8B" w:rsidP="000A2568">
            <w:pPr>
              <w:jc w:val="both"/>
              <w:rPr>
                <w:sz w:val="22"/>
                <w:szCs w:val="22"/>
              </w:rPr>
            </w:pPr>
            <w:r w:rsidRPr="00F46E10">
              <w:rPr>
                <w:sz w:val="22"/>
                <w:szCs w:val="22"/>
              </w:rPr>
              <w:t>User</w:t>
            </w:r>
          </w:p>
        </w:tc>
        <w:tc>
          <w:tcPr>
            <w:tcW w:w="6946" w:type="dxa"/>
          </w:tcPr>
          <w:p w:rsidR="001C7A8B" w:rsidRPr="00F46E10" w:rsidRDefault="001C7A8B" w:rsidP="001C7A8B">
            <w:pPr>
              <w:jc w:val="both"/>
              <w:rPr>
                <w:sz w:val="22"/>
                <w:szCs w:val="22"/>
              </w:rPr>
            </w:pPr>
            <w:r w:rsidRPr="00F46E10">
              <w:rPr>
                <w:sz w:val="22"/>
                <w:szCs w:val="22"/>
              </w:rPr>
              <w:t xml:space="preserve">Any chemicals imported to the Facility must have been previously assessed by the User in their home laboratory. COSHH records </w:t>
            </w:r>
            <w:r w:rsidR="00F46E10">
              <w:rPr>
                <w:sz w:val="22"/>
                <w:szCs w:val="22"/>
              </w:rPr>
              <w:t>are</w:t>
            </w:r>
            <w:r w:rsidRPr="00F46E10">
              <w:rPr>
                <w:sz w:val="22"/>
                <w:szCs w:val="22"/>
              </w:rPr>
              <w:t xml:space="preserve"> the responsibility of the User. </w:t>
            </w:r>
            <w:r w:rsidR="00F46E10">
              <w:rPr>
                <w:sz w:val="22"/>
                <w:szCs w:val="22"/>
              </w:rPr>
              <w:t>All identified control measures must be followed.</w:t>
            </w:r>
          </w:p>
          <w:p w:rsidR="001C7A8B" w:rsidRPr="00F46E10" w:rsidRDefault="001C7A8B" w:rsidP="001C7A8B">
            <w:pPr>
              <w:jc w:val="both"/>
              <w:rPr>
                <w:sz w:val="22"/>
                <w:szCs w:val="22"/>
              </w:rPr>
            </w:pPr>
          </w:p>
          <w:p w:rsidR="001C7A8B" w:rsidRPr="00F46E10" w:rsidRDefault="001C7A8B" w:rsidP="001C7A8B">
            <w:pPr>
              <w:jc w:val="both"/>
              <w:rPr>
                <w:sz w:val="22"/>
                <w:szCs w:val="22"/>
              </w:rPr>
            </w:pPr>
            <w:r w:rsidRPr="00F46E10">
              <w:rPr>
                <w:sz w:val="22"/>
                <w:szCs w:val="22"/>
              </w:rPr>
              <w:t xml:space="preserve">Broad crystallographic screens utilised routinely within the facility should be handled wearing gloves </w:t>
            </w:r>
            <w:r w:rsidR="00F46E10">
              <w:rPr>
                <w:sz w:val="22"/>
                <w:szCs w:val="22"/>
              </w:rPr>
              <w:t>(detailed above)</w:t>
            </w:r>
            <w:r w:rsidRPr="00F46E10">
              <w:rPr>
                <w:sz w:val="22"/>
                <w:szCs w:val="22"/>
              </w:rPr>
              <w:t>. The risks are minimised by reducing the volumes of each reservoir solution within a plate to 30ul, these screens are pre-dispensed by Dr C. Levy using the Phoenix robotics platform minimising any exposure to users. Full MSDS for the screens within the facility are available within the Health and Safety folder and Users must familiarise themselves with these documents prior to initiating any screening within the facility. Familiarisation with these documents forms part of the facility training undertaken by all users.</w:t>
            </w:r>
          </w:p>
          <w:p w:rsidR="001C7A8B" w:rsidRPr="00F46E10" w:rsidRDefault="001C7A8B" w:rsidP="001C7A8B">
            <w:pPr>
              <w:jc w:val="both"/>
              <w:rPr>
                <w:sz w:val="22"/>
                <w:szCs w:val="22"/>
              </w:rPr>
            </w:pPr>
          </w:p>
          <w:p w:rsidR="001C7A8B" w:rsidRPr="00F46E10" w:rsidRDefault="001C7A8B" w:rsidP="001C7A8B">
            <w:pPr>
              <w:jc w:val="both"/>
              <w:rPr>
                <w:sz w:val="22"/>
                <w:szCs w:val="22"/>
              </w:rPr>
            </w:pPr>
            <w:r w:rsidRPr="00F46E10">
              <w:rPr>
                <w:sz w:val="22"/>
                <w:szCs w:val="22"/>
              </w:rPr>
              <w:t>Spillages must be cleaned immediately and the area made safe for other facility users.</w:t>
            </w:r>
          </w:p>
        </w:tc>
        <w:tc>
          <w:tcPr>
            <w:tcW w:w="1055" w:type="dxa"/>
          </w:tcPr>
          <w:p w:rsidR="001C7A8B" w:rsidRPr="00F46E10" w:rsidRDefault="001C7A8B" w:rsidP="000A2568">
            <w:pPr>
              <w:jc w:val="both"/>
              <w:rPr>
                <w:sz w:val="22"/>
                <w:szCs w:val="22"/>
              </w:rPr>
            </w:pPr>
            <w:r w:rsidRPr="00F46E10">
              <w:rPr>
                <w:sz w:val="22"/>
                <w:szCs w:val="22"/>
              </w:rPr>
              <w:t>L</w:t>
            </w:r>
          </w:p>
        </w:tc>
        <w:tc>
          <w:tcPr>
            <w:tcW w:w="984" w:type="dxa"/>
          </w:tcPr>
          <w:p w:rsidR="001C7A8B" w:rsidRPr="00F46E10" w:rsidRDefault="001C7A8B" w:rsidP="000A2568">
            <w:pPr>
              <w:jc w:val="both"/>
              <w:rPr>
                <w:sz w:val="22"/>
                <w:szCs w:val="22"/>
              </w:rPr>
            </w:pPr>
            <w:r w:rsidRPr="00F46E10">
              <w:rPr>
                <w:sz w:val="22"/>
                <w:szCs w:val="22"/>
              </w:rPr>
              <w:t>T</w:t>
            </w:r>
          </w:p>
        </w:tc>
      </w:tr>
    </w:tbl>
    <w:p w:rsidR="005816CD" w:rsidRPr="00F46E10" w:rsidRDefault="005816CD" w:rsidP="000A256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5816CD" w:rsidRPr="00F46E10" w:rsidTr="00FA3DC0">
        <w:trPr>
          <w:trHeight w:val="577"/>
        </w:trPr>
        <w:tc>
          <w:tcPr>
            <w:tcW w:w="14218" w:type="dxa"/>
          </w:tcPr>
          <w:p w:rsidR="000A2568" w:rsidRPr="00F46E10" w:rsidRDefault="000A2568" w:rsidP="00FA3DC0">
            <w:pPr>
              <w:jc w:val="both"/>
              <w:rPr>
                <w:color w:val="FF0000"/>
                <w:sz w:val="22"/>
                <w:szCs w:val="22"/>
              </w:rPr>
            </w:pPr>
            <w:r w:rsidRPr="00F46E10">
              <w:rPr>
                <w:b/>
                <w:sz w:val="22"/>
                <w:szCs w:val="22"/>
                <w:u w:val="single"/>
              </w:rPr>
              <w:t>Authorisation</w:t>
            </w:r>
            <w:r w:rsidR="005816CD" w:rsidRPr="00F46E10">
              <w:rPr>
                <w:b/>
                <w:sz w:val="22"/>
                <w:szCs w:val="22"/>
                <w:u w:val="single"/>
              </w:rPr>
              <w:t xml:space="preserve"> </w:t>
            </w:r>
            <w:r w:rsidR="003847F9" w:rsidRPr="00F46E10">
              <w:rPr>
                <w:b/>
                <w:sz w:val="22"/>
                <w:szCs w:val="22"/>
                <w:u w:val="single"/>
              </w:rPr>
              <w:t xml:space="preserve"> by PI </w:t>
            </w:r>
          </w:p>
          <w:p w:rsidR="003847F9" w:rsidRPr="00F46E10" w:rsidRDefault="003847F9" w:rsidP="00FA3DC0">
            <w:pPr>
              <w:jc w:val="both"/>
              <w:rPr>
                <w:b/>
                <w:sz w:val="22"/>
                <w:szCs w:val="22"/>
              </w:rPr>
            </w:pPr>
          </w:p>
          <w:p w:rsidR="000A2568" w:rsidRPr="00F46E10" w:rsidRDefault="000A2568" w:rsidP="00FA3DC0">
            <w:pPr>
              <w:jc w:val="both"/>
              <w:rPr>
                <w:b/>
                <w:sz w:val="22"/>
                <w:szCs w:val="22"/>
              </w:rPr>
            </w:pPr>
            <w:r w:rsidRPr="00F46E10">
              <w:rPr>
                <w:b/>
                <w:sz w:val="22"/>
                <w:szCs w:val="22"/>
              </w:rPr>
              <w:lastRenderedPageBreak/>
              <w:t>I confirm that I have considered and understand the experim</w:t>
            </w:r>
            <w:r w:rsidR="00FD7865" w:rsidRPr="00F46E10">
              <w:rPr>
                <w:b/>
                <w:sz w:val="22"/>
                <w:szCs w:val="22"/>
              </w:rPr>
              <w:t xml:space="preserve">ent and the associated hazards. I am satisfied that all of the hazards have been identified and that the control measures to be followed will reduce the risks to acceptable levels. </w:t>
            </w:r>
          </w:p>
          <w:p w:rsidR="0064739F" w:rsidRPr="00F46E10" w:rsidRDefault="0064739F" w:rsidP="00FA3DC0">
            <w:pPr>
              <w:jc w:val="both"/>
              <w:rPr>
                <w:b/>
                <w:sz w:val="22"/>
                <w:szCs w:val="22"/>
              </w:rPr>
            </w:pPr>
          </w:p>
          <w:p w:rsidR="003847F9" w:rsidRPr="00F46E10" w:rsidRDefault="003847F9" w:rsidP="00FA3DC0">
            <w:pPr>
              <w:jc w:val="both"/>
              <w:rPr>
                <w:b/>
                <w:sz w:val="22"/>
                <w:szCs w:val="22"/>
              </w:rPr>
            </w:pPr>
            <w:r w:rsidRPr="00F46E10">
              <w:rPr>
                <w:b/>
                <w:sz w:val="22"/>
                <w:szCs w:val="22"/>
              </w:rPr>
              <w:t xml:space="preserve">Print name:                                                                   </w:t>
            </w:r>
            <w:r w:rsidR="00FD7865" w:rsidRPr="00F46E10">
              <w:rPr>
                <w:b/>
                <w:sz w:val="22"/>
                <w:szCs w:val="22"/>
              </w:rPr>
              <w:t xml:space="preserve">               </w:t>
            </w:r>
            <w:r w:rsidRPr="00F46E10">
              <w:rPr>
                <w:b/>
                <w:sz w:val="22"/>
                <w:szCs w:val="22"/>
              </w:rPr>
              <w:t>Signed:</w:t>
            </w:r>
          </w:p>
          <w:p w:rsidR="003847F9" w:rsidRPr="00F46E10" w:rsidRDefault="003847F9" w:rsidP="00FA3DC0">
            <w:pPr>
              <w:jc w:val="both"/>
              <w:rPr>
                <w:b/>
                <w:sz w:val="22"/>
                <w:szCs w:val="22"/>
              </w:rPr>
            </w:pPr>
          </w:p>
          <w:p w:rsidR="003847F9" w:rsidRPr="00F46E10" w:rsidRDefault="003847F9" w:rsidP="00FA3DC0">
            <w:pPr>
              <w:jc w:val="both"/>
              <w:rPr>
                <w:b/>
                <w:sz w:val="22"/>
                <w:szCs w:val="22"/>
              </w:rPr>
            </w:pPr>
            <w:r w:rsidRPr="00F46E10">
              <w:rPr>
                <w:b/>
                <w:sz w:val="22"/>
                <w:szCs w:val="22"/>
              </w:rPr>
              <w:t>Date:</w:t>
            </w:r>
          </w:p>
          <w:p w:rsidR="003847F9" w:rsidRPr="00F46E10" w:rsidRDefault="003847F9" w:rsidP="00FA3DC0">
            <w:pPr>
              <w:jc w:val="both"/>
              <w:rPr>
                <w:b/>
                <w:sz w:val="22"/>
                <w:szCs w:val="22"/>
              </w:rPr>
            </w:pPr>
          </w:p>
        </w:tc>
      </w:tr>
    </w:tbl>
    <w:p w:rsidR="003847F9" w:rsidRPr="00F46E10" w:rsidRDefault="003847F9">
      <w:pPr>
        <w:rPr>
          <w:sz w:val="22"/>
          <w:szCs w:val="22"/>
        </w:rPr>
      </w:pPr>
    </w:p>
    <w:p w:rsidR="000A2568" w:rsidRPr="00F46E10" w:rsidRDefault="000A2568" w:rsidP="000A2568">
      <w:pPr>
        <w:jc w:val="both"/>
        <w:rPr>
          <w:sz w:val="22"/>
          <w:szCs w:val="22"/>
        </w:rPr>
      </w:pPr>
      <w:r w:rsidRPr="00F46E10">
        <w:rPr>
          <w:b/>
          <w:sz w:val="22"/>
          <w:szCs w:val="22"/>
          <w:u w:val="single"/>
        </w:rPr>
        <w:t>Declaration</w:t>
      </w:r>
      <w:r w:rsidR="003847F9" w:rsidRPr="00F46E10">
        <w:rPr>
          <w:b/>
          <w:sz w:val="22"/>
          <w:szCs w:val="22"/>
          <w:u w:val="single"/>
        </w:rPr>
        <w:t xml:space="preserve"> by researcher</w:t>
      </w:r>
    </w:p>
    <w:p w:rsidR="00F46E10" w:rsidRPr="00F46E10" w:rsidRDefault="000A2568" w:rsidP="00F46E10">
      <w:pPr>
        <w:jc w:val="both"/>
        <w:rPr>
          <w:b/>
          <w:sz w:val="22"/>
          <w:szCs w:val="22"/>
        </w:rPr>
      </w:pPr>
      <w:r w:rsidRPr="00F46E10">
        <w:rPr>
          <w:b/>
          <w:sz w:val="22"/>
          <w:szCs w:val="22"/>
        </w:rPr>
        <w:t xml:space="preserve">I confirm that I have read this Risk Assessment and </w:t>
      </w:r>
      <w:r w:rsidR="003847F9" w:rsidRPr="00F46E10">
        <w:rPr>
          <w:b/>
          <w:sz w:val="22"/>
          <w:szCs w:val="22"/>
        </w:rPr>
        <w:t>that I understand the hazards and risks involved and will follow all of the safety procedures stated.</w:t>
      </w:r>
      <w:r w:rsidR="00F46E10" w:rsidRPr="00F46E10">
        <w:rPr>
          <w:b/>
          <w:sz w:val="22"/>
          <w:szCs w:val="22"/>
        </w:rPr>
        <w:t xml:space="preserve"> </w:t>
      </w:r>
      <w:r w:rsidR="00F46E10" w:rsidRPr="00F46E10">
        <w:rPr>
          <w:b/>
          <w:sz w:val="22"/>
          <w:szCs w:val="22"/>
        </w:rPr>
        <w:t>Where PPE has been identified as a control measure, I will ensure that it is worn.</w:t>
      </w:r>
    </w:p>
    <w:p w:rsidR="0064739F" w:rsidRPr="00F46E10" w:rsidRDefault="0064739F" w:rsidP="0064739F">
      <w:pPr>
        <w:jc w:val="both"/>
        <w:rPr>
          <w:b/>
          <w:sz w:val="22"/>
          <w:szCs w:val="22"/>
          <w:u w:val="single"/>
        </w:rPr>
      </w:pPr>
    </w:p>
    <w:p w:rsidR="0064739F" w:rsidRPr="00F46E10" w:rsidRDefault="0064739F" w:rsidP="0064739F">
      <w:pPr>
        <w:jc w:val="both"/>
        <w:rPr>
          <w:sz w:val="22"/>
          <w:szCs w:val="22"/>
        </w:rPr>
      </w:pPr>
      <w:r w:rsidRPr="00F46E10">
        <w:rPr>
          <w:b/>
          <w:sz w:val="22"/>
          <w:szCs w:val="22"/>
          <w:u w:val="single"/>
        </w:rPr>
        <w:t>Declaration by PI</w:t>
      </w:r>
    </w:p>
    <w:p w:rsidR="0064739F" w:rsidRPr="00F46E10" w:rsidRDefault="0064739F" w:rsidP="0064739F">
      <w:pPr>
        <w:jc w:val="both"/>
        <w:rPr>
          <w:b/>
          <w:sz w:val="22"/>
          <w:szCs w:val="22"/>
        </w:rPr>
      </w:pPr>
      <w:r w:rsidRPr="00F46E10">
        <w:rPr>
          <w:b/>
          <w:sz w:val="22"/>
          <w:szCs w:val="22"/>
        </w:rPr>
        <w:t>I confirm that the researcher who has signed below is competent to undertake the work. My counter-signature indicates that I am happy for the work to proceed.</w:t>
      </w:r>
    </w:p>
    <w:p w:rsidR="0064739F" w:rsidRPr="00F46E10" w:rsidRDefault="0064739F" w:rsidP="000A2568">
      <w:pPr>
        <w:jc w:val="both"/>
        <w:rPr>
          <w:sz w:val="22"/>
          <w:szCs w:val="22"/>
        </w:rPr>
      </w:pPr>
    </w:p>
    <w:p w:rsidR="0064739F" w:rsidRPr="00F46E10" w:rsidRDefault="0064739F" w:rsidP="000A256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36"/>
        <w:gridCol w:w="4536"/>
        <w:gridCol w:w="1636"/>
      </w:tblGrid>
      <w:tr w:rsidR="0064739F" w:rsidRPr="00F46E10" w:rsidTr="00FA3DC0">
        <w:tc>
          <w:tcPr>
            <w:tcW w:w="3510" w:type="dxa"/>
          </w:tcPr>
          <w:p w:rsidR="0064739F" w:rsidRPr="00F46E10" w:rsidRDefault="0064739F" w:rsidP="00FA3DC0">
            <w:pPr>
              <w:jc w:val="both"/>
              <w:rPr>
                <w:b/>
                <w:sz w:val="22"/>
                <w:szCs w:val="22"/>
              </w:rPr>
            </w:pPr>
            <w:r w:rsidRPr="00F46E10">
              <w:rPr>
                <w:b/>
                <w:sz w:val="22"/>
                <w:szCs w:val="22"/>
              </w:rPr>
              <w:t>Name (please print)</w:t>
            </w:r>
          </w:p>
          <w:p w:rsidR="0064739F" w:rsidRPr="00F46E10" w:rsidRDefault="0064739F" w:rsidP="00FA3DC0">
            <w:pPr>
              <w:jc w:val="both"/>
              <w:rPr>
                <w:b/>
                <w:sz w:val="22"/>
                <w:szCs w:val="22"/>
              </w:rPr>
            </w:pPr>
          </w:p>
        </w:tc>
        <w:tc>
          <w:tcPr>
            <w:tcW w:w="4536" w:type="dxa"/>
          </w:tcPr>
          <w:p w:rsidR="0064739F" w:rsidRPr="00F46E10" w:rsidRDefault="0064739F" w:rsidP="00FA3DC0">
            <w:pPr>
              <w:jc w:val="both"/>
              <w:rPr>
                <w:b/>
                <w:sz w:val="22"/>
                <w:szCs w:val="22"/>
              </w:rPr>
            </w:pPr>
            <w:r w:rsidRPr="00F46E10">
              <w:rPr>
                <w:b/>
                <w:sz w:val="22"/>
                <w:szCs w:val="22"/>
              </w:rPr>
              <w:t>signed</w:t>
            </w:r>
          </w:p>
        </w:tc>
        <w:tc>
          <w:tcPr>
            <w:tcW w:w="4536" w:type="dxa"/>
          </w:tcPr>
          <w:p w:rsidR="0064739F" w:rsidRPr="00F46E10" w:rsidRDefault="0064739F" w:rsidP="00FA3DC0">
            <w:pPr>
              <w:jc w:val="both"/>
              <w:rPr>
                <w:b/>
                <w:sz w:val="22"/>
                <w:szCs w:val="22"/>
              </w:rPr>
            </w:pPr>
            <w:r w:rsidRPr="00F46E10">
              <w:rPr>
                <w:b/>
                <w:sz w:val="22"/>
                <w:szCs w:val="22"/>
              </w:rPr>
              <w:t xml:space="preserve">PI </w:t>
            </w:r>
            <w:r w:rsidR="009154E8" w:rsidRPr="00F46E10">
              <w:rPr>
                <w:b/>
                <w:sz w:val="22"/>
                <w:szCs w:val="22"/>
              </w:rPr>
              <w:t>countersignature</w:t>
            </w:r>
          </w:p>
        </w:tc>
        <w:tc>
          <w:tcPr>
            <w:tcW w:w="1636" w:type="dxa"/>
          </w:tcPr>
          <w:p w:rsidR="0064739F" w:rsidRPr="00F46E10" w:rsidRDefault="0064739F" w:rsidP="00FA3DC0">
            <w:pPr>
              <w:jc w:val="both"/>
              <w:rPr>
                <w:b/>
                <w:sz w:val="22"/>
                <w:szCs w:val="22"/>
              </w:rPr>
            </w:pPr>
            <w:r w:rsidRPr="00F46E10">
              <w:rPr>
                <w:b/>
                <w:sz w:val="22"/>
                <w:szCs w:val="22"/>
              </w:rPr>
              <w:t>date</w:t>
            </w:r>
          </w:p>
        </w:tc>
      </w:tr>
      <w:tr w:rsidR="0064739F" w:rsidRPr="00F46E10" w:rsidTr="00FA3DC0">
        <w:trPr>
          <w:trHeight w:val="679"/>
        </w:trPr>
        <w:tc>
          <w:tcPr>
            <w:tcW w:w="3510" w:type="dxa"/>
          </w:tcPr>
          <w:p w:rsidR="0064739F" w:rsidRPr="00F46E10" w:rsidRDefault="0064739F" w:rsidP="00FA3DC0">
            <w:pPr>
              <w:jc w:val="both"/>
              <w:rPr>
                <w:sz w:val="22"/>
                <w:szCs w:val="22"/>
              </w:rPr>
            </w:pPr>
          </w:p>
        </w:tc>
        <w:tc>
          <w:tcPr>
            <w:tcW w:w="4536" w:type="dxa"/>
          </w:tcPr>
          <w:p w:rsidR="0064739F" w:rsidRPr="00F46E10" w:rsidRDefault="0064739F" w:rsidP="00FA3DC0">
            <w:pPr>
              <w:jc w:val="both"/>
              <w:rPr>
                <w:sz w:val="22"/>
                <w:szCs w:val="22"/>
              </w:rPr>
            </w:pPr>
          </w:p>
        </w:tc>
        <w:tc>
          <w:tcPr>
            <w:tcW w:w="4536" w:type="dxa"/>
          </w:tcPr>
          <w:p w:rsidR="0064739F" w:rsidRPr="00F46E10" w:rsidRDefault="0064739F" w:rsidP="00FA3DC0">
            <w:pPr>
              <w:jc w:val="both"/>
              <w:rPr>
                <w:sz w:val="22"/>
                <w:szCs w:val="22"/>
              </w:rPr>
            </w:pPr>
          </w:p>
        </w:tc>
        <w:tc>
          <w:tcPr>
            <w:tcW w:w="1636" w:type="dxa"/>
          </w:tcPr>
          <w:p w:rsidR="0064739F" w:rsidRPr="00F46E10" w:rsidRDefault="0064739F" w:rsidP="00FA3DC0">
            <w:pPr>
              <w:jc w:val="both"/>
              <w:rPr>
                <w:sz w:val="22"/>
                <w:szCs w:val="22"/>
              </w:rPr>
            </w:pPr>
          </w:p>
        </w:tc>
      </w:tr>
      <w:tr w:rsidR="0064739F" w:rsidRPr="00F46E10" w:rsidTr="00FA3DC0">
        <w:trPr>
          <w:trHeight w:val="679"/>
        </w:trPr>
        <w:tc>
          <w:tcPr>
            <w:tcW w:w="3510" w:type="dxa"/>
          </w:tcPr>
          <w:p w:rsidR="0064739F" w:rsidRPr="00F46E10" w:rsidRDefault="0064739F" w:rsidP="00FA3DC0">
            <w:pPr>
              <w:jc w:val="both"/>
              <w:rPr>
                <w:sz w:val="22"/>
                <w:szCs w:val="22"/>
              </w:rPr>
            </w:pPr>
          </w:p>
        </w:tc>
        <w:tc>
          <w:tcPr>
            <w:tcW w:w="4536" w:type="dxa"/>
          </w:tcPr>
          <w:p w:rsidR="0064739F" w:rsidRPr="00F46E10" w:rsidRDefault="0064739F" w:rsidP="00FA3DC0">
            <w:pPr>
              <w:jc w:val="both"/>
              <w:rPr>
                <w:sz w:val="22"/>
                <w:szCs w:val="22"/>
              </w:rPr>
            </w:pPr>
          </w:p>
        </w:tc>
        <w:tc>
          <w:tcPr>
            <w:tcW w:w="4536" w:type="dxa"/>
          </w:tcPr>
          <w:p w:rsidR="0064739F" w:rsidRPr="00F46E10" w:rsidRDefault="0064739F" w:rsidP="00FA3DC0">
            <w:pPr>
              <w:jc w:val="both"/>
              <w:rPr>
                <w:sz w:val="22"/>
                <w:szCs w:val="22"/>
              </w:rPr>
            </w:pPr>
          </w:p>
        </w:tc>
        <w:tc>
          <w:tcPr>
            <w:tcW w:w="1636" w:type="dxa"/>
          </w:tcPr>
          <w:p w:rsidR="0064739F" w:rsidRPr="00F46E10" w:rsidRDefault="0064739F" w:rsidP="00FA3DC0">
            <w:pPr>
              <w:jc w:val="both"/>
              <w:rPr>
                <w:sz w:val="22"/>
                <w:szCs w:val="22"/>
              </w:rPr>
            </w:pPr>
          </w:p>
        </w:tc>
      </w:tr>
      <w:tr w:rsidR="0064739F" w:rsidRPr="00F46E10" w:rsidTr="00FA3DC0">
        <w:trPr>
          <w:trHeight w:val="680"/>
        </w:trPr>
        <w:tc>
          <w:tcPr>
            <w:tcW w:w="3510" w:type="dxa"/>
          </w:tcPr>
          <w:p w:rsidR="0064739F" w:rsidRPr="00F46E10" w:rsidRDefault="0064739F" w:rsidP="00FA3DC0">
            <w:pPr>
              <w:jc w:val="both"/>
              <w:rPr>
                <w:sz w:val="22"/>
                <w:szCs w:val="22"/>
              </w:rPr>
            </w:pPr>
          </w:p>
        </w:tc>
        <w:tc>
          <w:tcPr>
            <w:tcW w:w="4536" w:type="dxa"/>
          </w:tcPr>
          <w:p w:rsidR="0064739F" w:rsidRPr="00F46E10" w:rsidRDefault="0064739F" w:rsidP="00FA3DC0">
            <w:pPr>
              <w:jc w:val="both"/>
              <w:rPr>
                <w:sz w:val="22"/>
                <w:szCs w:val="22"/>
              </w:rPr>
            </w:pPr>
          </w:p>
        </w:tc>
        <w:tc>
          <w:tcPr>
            <w:tcW w:w="4536" w:type="dxa"/>
          </w:tcPr>
          <w:p w:rsidR="0064739F" w:rsidRPr="00F46E10" w:rsidRDefault="0064739F" w:rsidP="00FA3DC0">
            <w:pPr>
              <w:jc w:val="both"/>
              <w:rPr>
                <w:sz w:val="22"/>
                <w:szCs w:val="22"/>
              </w:rPr>
            </w:pPr>
          </w:p>
        </w:tc>
        <w:tc>
          <w:tcPr>
            <w:tcW w:w="1636" w:type="dxa"/>
          </w:tcPr>
          <w:p w:rsidR="0064739F" w:rsidRPr="00F46E10" w:rsidRDefault="0064739F" w:rsidP="00FA3DC0">
            <w:pPr>
              <w:jc w:val="both"/>
              <w:rPr>
                <w:sz w:val="22"/>
                <w:szCs w:val="22"/>
              </w:rPr>
            </w:pPr>
          </w:p>
        </w:tc>
      </w:tr>
      <w:tr w:rsidR="0064739F" w:rsidRPr="00F46E10" w:rsidTr="00FA3DC0">
        <w:trPr>
          <w:trHeight w:val="680"/>
        </w:trPr>
        <w:tc>
          <w:tcPr>
            <w:tcW w:w="3510" w:type="dxa"/>
          </w:tcPr>
          <w:p w:rsidR="0064739F" w:rsidRPr="00F46E10" w:rsidRDefault="0064739F" w:rsidP="00FA3DC0">
            <w:pPr>
              <w:jc w:val="both"/>
              <w:rPr>
                <w:sz w:val="22"/>
                <w:szCs w:val="22"/>
              </w:rPr>
            </w:pPr>
          </w:p>
        </w:tc>
        <w:tc>
          <w:tcPr>
            <w:tcW w:w="4536" w:type="dxa"/>
          </w:tcPr>
          <w:p w:rsidR="0064739F" w:rsidRPr="00F46E10" w:rsidRDefault="0064739F" w:rsidP="00FA3DC0">
            <w:pPr>
              <w:jc w:val="both"/>
              <w:rPr>
                <w:sz w:val="22"/>
                <w:szCs w:val="22"/>
              </w:rPr>
            </w:pPr>
            <w:bookmarkStart w:id="0" w:name="_GoBack"/>
            <w:bookmarkEnd w:id="0"/>
          </w:p>
        </w:tc>
        <w:tc>
          <w:tcPr>
            <w:tcW w:w="4536" w:type="dxa"/>
          </w:tcPr>
          <w:p w:rsidR="0064739F" w:rsidRPr="00F46E10" w:rsidRDefault="0064739F" w:rsidP="00FA3DC0">
            <w:pPr>
              <w:jc w:val="both"/>
              <w:rPr>
                <w:sz w:val="22"/>
                <w:szCs w:val="22"/>
              </w:rPr>
            </w:pPr>
          </w:p>
        </w:tc>
        <w:tc>
          <w:tcPr>
            <w:tcW w:w="1636" w:type="dxa"/>
          </w:tcPr>
          <w:p w:rsidR="0064739F" w:rsidRPr="00F46E10" w:rsidRDefault="0064739F" w:rsidP="00FA3DC0">
            <w:pPr>
              <w:jc w:val="both"/>
              <w:rPr>
                <w:sz w:val="22"/>
                <w:szCs w:val="22"/>
              </w:rPr>
            </w:pPr>
          </w:p>
        </w:tc>
      </w:tr>
      <w:tr w:rsidR="0064739F" w:rsidRPr="00F46E10" w:rsidTr="00FA3DC0">
        <w:trPr>
          <w:trHeight w:val="680"/>
        </w:trPr>
        <w:tc>
          <w:tcPr>
            <w:tcW w:w="3510" w:type="dxa"/>
          </w:tcPr>
          <w:p w:rsidR="0064739F" w:rsidRPr="00F46E10" w:rsidRDefault="0064739F" w:rsidP="00FA3DC0">
            <w:pPr>
              <w:jc w:val="both"/>
              <w:rPr>
                <w:sz w:val="22"/>
                <w:szCs w:val="22"/>
              </w:rPr>
            </w:pPr>
          </w:p>
        </w:tc>
        <w:tc>
          <w:tcPr>
            <w:tcW w:w="4536" w:type="dxa"/>
          </w:tcPr>
          <w:p w:rsidR="0064739F" w:rsidRPr="00F46E10" w:rsidRDefault="0064739F" w:rsidP="00FA3DC0">
            <w:pPr>
              <w:jc w:val="both"/>
              <w:rPr>
                <w:sz w:val="22"/>
                <w:szCs w:val="22"/>
              </w:rPr>
            </w:pPr>
          </w:p>
        </w:tc>
        <w:tc>
          <w:tcPr>
            <w:tcW w:w="4536" w:type="dxa"/>
          </w:tcPr>
          <w:p w:rsidR="0064739F" w:rsidRPr="00F46E10" w:rsidRDefault="0064739F" w:rsidP="00FA3DC0">
            <w:pPr>
              <w:jc w:val="both"/>
              <w:rPr>
                <w:sz w:val="22"/>
                <w:szCs w:val="22"/>
              </w:rPr>
            </w:pPr>
          </w:p>
        </w:tc>
        <w:tc>
          <w:tcPr>
            <w:tcW w:w="1636" w:type="dxa"/>
          </w:tcPr>
          <w:p w:rsidR="0064739F" w:rsidRPr="00F46E10" w:rsidRDefault="0064739F" w:rsidP="00FA3DC0">
            <w:pPr>
              <w:jc w:val="both"/>
              <w:rPr>
                <w:sz w:val="22"/>
                <w:szCs w:val="22"/>
              </w:rPr>
            </w:pPr>
          </w:p>
        </w:tc>
      </w:tr>
    </w:tbl>
    <w:p w:rsidR="00E01D5E" w:rsidRPr="00F46E10" w:rsidRDefault="00E01D5E" w:rsidP="000A2568">
      <w:pPr>
        <w:tabs>
          <w:tab w:val="num" w:pos="567"/>
        </w:tabs>
        <w:ind w:left="567" w:hanging="567"/>
        <w:jc w:val="both"/>
        <w:rPr>
          <w:sz w:val="22"/>
          <w:szCs w:val="22"/>
        </w:rPr>
      </w:pPr>
    </w:p>
    <w:sectPr w:rsidR="00E01D5E" w:rsidRPr="00F46E10" w:rsidSect="00F46E10">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69" w:rsidRDefault="00144569">
      <w:r>
        <w:separator/>
      </w:r>
    </w:p>
  </w:endnote>
  <w:endnote w:type="continuationSeparator" w:id="0">
    <w:p w:rsidR="00144569" w:rsidRDefault="0014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69" w:rsidRDefault="00144569">
      <w:r>
        <w:separator/>
      </w:r>
    </w:p>
  </w:footnote>
  <w:footnote w:type="continuationSeparator" w:id="0">
    <w:p w:rsidR="00144569" w:rsidRDefault="00144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06A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C22EFC"/>
    <w:multiLevelType w:val="hybridMultilevel"/>
    <w:tmpl w:val="4718E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1EB220C"/>
    <w:multiLevelType w:val="hybridMultilevel"/>
    <w:tmpl w:val="1910BAEE"/>
    <w:lvl w:ilvl="0" w:tplc="73FCF8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00F"/>
    <w:rsid w:val="00003D9D"/>
    <w:rsid w:val="000113D7"/>
    <w:rsid w:val="00025E76"/>
    <w:rsid w:val="0005133D"/>
    <w:rsid w:val="000A2568"/>
    <w:rsid w:val="000A486F"/>
    <w:rsid w:val="000A501D"/>
    <w:rsid w:val="000B2DE9"/>
    <w:rsid w:val="00127084"/>
    <w:rsid w:val="00144569"/>
    <w:rsid w:val="001C7A8B"/>
    <w:rsid w:val="001D5D34"/>
    <w:rsid w:val="001D75FC"/>
    <w:rsid w:val="0020100F"/>
    <w:rsid w:val="002821B8"/>
    <w:rsid w:val="002A200C"/>
    <w:rsid w:val="002D7ABB"/>
    <w:rsid w:val="003500D5"/>
    <w:rsid w:val="00364B84"/>
    <w:rsid w:val="003847F9"/>
    <w:rsid w:val="004E20DD"/>
    <w:rsid w:val="004E33B8"/>
    <w:rsid w:val="00510D6C"/>
    <w:rsid w:val="005225C9"/>
    <w:rsid w:val="005650C7"/>
    <w:rsid w:val="005816CD"/>
    <w:rsid w:val="005C135F"/>
    <w:rsid w:val="005E68E8"/>
    <w:rsid w:val="0064739F"/>
    <w:rsid w:val="00665FBE"/>
    <w:rsid w:val="0067291A"/>
    <w:rsid w:val="00690FCB"/>
    <w:rsid w:val="00791668"/>
    <w:rsid w:val="008139BB"/>
    <w:rsid w:val="00856A77"/>
    <w:rsid w:val="008F47E5"/>
    <w:rsid w:val="009154E8"/>
    <w:rsid w:val="00945D8B"/>
    <w:rsid w:val="009538CF"/>
    <w:rsid w:val="0096166B"/>
    <w:rsid w:val="00964569"/>
    <w:rsid w:val="009B5F67"/>
    <w:rsid w:val="009E0F87"/>
    <w:rsid w:val="009F0C43"/>
    <w:rsid w:val="00AE1A75"/>
    <w:rsid w:val="00B35E07"/>
    <w:rsid w:val="00B613A2"/>
    <w:rsid w:val="00B6582D"/>
    <w:rsid w:val="00BD53AC"/>
    <w:rsid w:val="00C66350"/>
    <w:rsid w:val="00C74CA7"/>
    <w:rsid w:val="00CA2B83"/>
    <w:rsid w:val="00D15D78"/>
    <w:rsid w:val="00D30F1A"/>
    <w:rsid w:val="00D75F63"/>
    <w:rsid w:val="00DB7477"/>
    <w:rsid w:val="00E01D5E"/>
    <w:rsid w:val="00E3654D"/>
    <w:rsid w:val="00F443A5"/>
    <w:rsid w:val="00F46E10"/>
    <w:rsid w:val="00FA3DC0"/>
    <w:rsid w:val="00FD7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0B49-A283-4B53-BA42-70BD25D2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4258</CharactersWithSpaces>
  <SharedDoc>false</SharedDoc>
  <HLinks>
    <vt:vector size="6" baseType="variant">
      <vt:variant>
        <vt:i4>4390987</vt:i4>
      </vt:variant>
      <vt:variant>
        <vt:i4>-1</vt:i4>
      </vt:variant>
      <vt:variant>
        <vt:i4>1026</vt:i4>
      </vt:variant>
      <vt:variant>
        <vt:i4>1</vt:i4>
      </vt:variant>
      <vt:variant>
        <vt:lpwstr>TUOM_4COL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2008-11-13T09:31:00Z</cp:lastPrinted>
  <dcterms:created xsi:type="dcterms:W3CDTF">2015-02-26T13:27:00Z</dcterms:created>
  <dcterms:modified xsi:type="dcterms:W3CDTF">2015-02-26T13:27:00Z</dcterms:modified>
</cp:coreProperties>
</file>