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B6" w:rsidRPr="00230E1C" w:rsidRDefault="00230E1C" w:rsidP="00423A50">
      <w:pPr>
        <w:pStyle w:val="TextBodyIndent"/>
        <w:spacing w:after="0" w:line="100" w:lineRule="atLeast"/>
        <w:jc w:val="both"/>
        <w:rPr>
          <w:rFonts w:eastAsia="Verdana"/>
          <w:b/>
          <w:bCs/>
          <w:sz w:val="22"/>
          <w:szCs w:val="22"/>
        </w:rPr>
      </w:pPr>
      <w:r w:rsidRPr="00230E1C">
        <w:rPr>
          <w:rFonts w:eastAsia="Verdana"/>
          <w:b/>
          <w:bCs/>
          <w:noProof/>
          <w:sz w:val="22"/>
          <w:szCs w:val="22"/>
          <w:lang w:eastAsia="en-GB"/>
        </w:rPr>
        <w:drawing>
          <wp:anchor distT="0" distB="0" distL="0" distR="0" simplePos="0" relativeHeight="251658240" behindDoc="1" locked="0" layoutInCell="1" allowOverlap="1" wp14:anchorId="0BE0D1EE" wp14:editId="4AE248D7">
            <wp:simplePos x="0" y="0"/>
            <wp:positionH relativeFrom="character">
              <wp:posOffset>-1995170</wp:posOffset>
            </wp:positionH>
            <wp:positionV relativeFrom="paragraph">
              <wp:posOffset>-572770</wp:posOffset>
            </wp:positionV>
            <wp:extent cx="1120140" cy="1075690"/>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tretch>
                      <a:fillRect/>
                    </a:stretch>
                  </pic:blipFill>
                  <pic:spPr bwMode="auto">
                    <a:xfrm>
                      <a:off x="0" y="0"/>
                      <a:ext cx="1120140" cy="1075690"/>
                    </a:xfrm>
                    <a:prstGeom prst="rect">
                      <a:avLst/>
                    </a:prstGeom>
                    <a:noFill/>
                    <a:ln w="9525">
                      <a:noFill/>
                      <a:miter lim="800000"/>
                      <a:headEnd/>
                      <a:tailEnd/>
                    </a:ln>
                  </pic:spPr>
                </pic:pic>
              </a:graphicData>
            </a:graphic>
          </wp:anchor>
        </w:drawing>
      </w:r>
      <w:r w:rsidRPr="00230E1C">
        <w:rPr>
          <w:b/>
          <w:bCs/>
          <w:sz w:val="22"/>
          <w:szCs w:val="22"/>
        </w:rPr>
        <w:t>Manchester Institute of Biotechnology - Risk</w:t>
      </w:r>
      <w:r w:rsidRPr="00230E1C">
        <w:rPr>
          <w:rFonts w:eastAsia="Verdana"/>
          <w:b/>
          <w:bCs/>
          <w:sz w:val="22"/>
          <w:szCs w:val="22"/>
        </w:rPr>
        <w:t xml:space="preserve"> </w:t>
      </w:r>
      <w:r w:rsidRPr="00230E1C">
        <w:rPr>
          <w:b/>
          <w:bCs/>
          <w:sz w:val="22"/>
          <w:szCs w:val="22"/>
        </w:rPr>
        <w:t>Assessment</w:t>
      </w:r>
      <w:r w:rsidRPr="00230E1C">
        <w:rPr>
          <w:rFonts w:eastAsia="Verdana"/>
          <w:b/>
          <w:bCs/>
          <w:sz w:val="22"/>
          <w:szCs w:val="22"/>
        </w:rPr>
        <w:t xml:space="preserve"> </w:t>
      </w:r>
    </w:p>
    <w:p w:rsidR="00ED0BB6" w:rsidRPr="00230E1C" w:rsidRDefault="00ED0BB6" w:rsidP="00423A50">
      <w:pPr>
        <w:pStyle w:val="TextBodyIndent"/>
        <w:spacing w:after="0" w:line="100" w:lineRule="atLeast"/>
        <w:jc w:val="both"/>
        <w:rPr>
          <w:sz w:val="22"/>
          <w:szCs w:val="22"/>
        </w:rPr>
      </w:pPr>
    </w:p>
    <w:p w:rsidR="00ED0BB6" w:rsidRPr="00230E1C" w:rsidRDefault="00ED0BB6" w:rsidP="00423A50">
      <w:pPr>
        <w:pStyle w:val="TextBodyIndent"/>
        <w:spacing w:after="0" w:line="100" w:lineRule="atLeast"/>
        <w:jc w:val="both"/>
        <w:rPr>
          <w:sz w:val="22"/>
          <w:szCs w:val="22"/>
        </w:rPr>
      </w:pPr>
    </w:p>
    <w:p w:rsidR="00ED0BB6" w:rsidRPr="00230E1C" w:rsidRDefault="00ED0BB6" w:rsidP="00423A50">
      <w:pPr>
        <w:pStyle w:val="TextBodyIndent"/>
        <w:spacing w:after="0" w:line="100" w:lineRule="atLeast"/>
        <w:jc w:val="both"/>
        <w:rPr>
          <w:sz w:val="22"/>
          <w:szCs w:val="22"/>
        </w:rPr>
      </w:pP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0" w:type="dxa"/>
          <w:right w:w="10" w:type="dxa"/>
        </w:tblCellMar>
        <w:tblLook w:val="04A0" w:firstRow="1" w:lastRow="0" w:firstColumn="1" w:lastColumn="0" w:noHBand="0" w:noVBand="1"/>
      </w:tblPr>
      <w:tblGrid>
        <w:gridCol w:w="2930"/>
        <w:gridCol w:w="2240"/>
        <w:gridCol w:w="2427"/>
        <w:gridCol w:w="3025"/>
        <w:gridCol w:w="3307"/>
      </w:tblGrid>
      <w:tr w:rsidR="00ED0BB6" w:rsidRPr="00230E1C" w:rsidTr="00885A83">
        <w:trPr>
          <w:cantSplit/>
          <w:trHeight w:val="639"/>
          <w:tblHeader/>
          <w:jc w:val="center"/>
        </w:trPr>
        <w:tc>
          <w:tcPr>
            <w:tcW w:w="2930" w:type="dxa"/>
            <w:tcBorders>
              <w:top w:val="single" w:sz="4" w:space="0" w:color="000001"/>
              <w:left w:val="single" w:sz="4" w:space="0" w:color="000001"/>
              <w:bottom w:val="single" w:sz="4" w:space="0" w:color="000001"/>
              <w:right w:val="nil"/>
            </w:tcBorders>
            <w:shd w:val="clear" w:color="auto" w:fill="CCFFFF"/>
            <w:tcMar>
              <w:left w:w="0" w:type="dxa"/>
            </w:tcMar>
          </w:tcPr>
          <w:p w:rsidR="00ED0BB6" w:rsidRPr="00230E1C" w:rsidRDefault="00230E1C" w:rsidP="00423A50">
            <w:pPr>
              <w:spacing w:after="0" w:line="100" w:lineRule="atLeast"/>
              <w:jc w:val="both"/>
              <w:rPr>
                <w:szCs w:val="22"/>
              </w:rPr>
            </w:pPr>
            <w:r w:rsidRPr="00230E1C">
              <w:rPr>
                <w:b/>
                <w:sz w:val="22"/>
                <w:szCs w:val="22"/>
              </w:rPr>
              <w:t>Date</w:t>
            </w:r>
            <w:r w:rsidRPr="00230E1C">
              <w:rPr>
                <w:sz w:val="22"/>
                <w:szCs w:val="22"/>
              </w:rPr>
              <w:t>:</w:t>
            </w:r>
            <w:r w:rsidRPr="00230E1C">
              <w:rPr>
                <w:rFonts w:eastAsia="Verdana"/>
                <w:sz w:val="22"/>
                <w:szCs w:val="22"/>
              </w:rPr>
              <w:t xml:space="preserve"> </w:t>
            </w:r>
            <w:r w:rsidRPr="00230E1C">
              <w:rPr>
                <w:sz w:val="22"/>
                <w:szCs w:val="22"/>
              </w:rPr>
              <w:t>31/08/2014</w:t>
            </w:r>
          </w:p>
        </w:tc>
        <w:tc>
          <w:tcPr>
            <w:tcW w:w="2240" w:type="dxa"/>
            <w:tcBorders>
              <w:top w:val="single" w:sz="4" w:space="0" w:color="000001"/>
              <w:left w:val="single" w:sz="4" w:space="0" w:color="000001"/>
              <w:bottom w:val="single" w:sz="4" w:space="0" w:color="000001"/>
              <w:right w:val="nil"/>
            </w:tcBorders>
            <w:shd w:val="clear" w:color="auto" w:fill="CCFFFF"/>
            <w:tcMar>
              <w:left w:w="0" w:type="dxa"/>
            </w:tcMar>
          </w:tcPr>
          <w:p w:rsidR="00ED0BB6" w:rsidRPr="00230E1C" w:rsidRDefault="00230E1C" w:rsidP="00423A50">
            <w:pPr>
              <w:spacing w:after="0" w:line="100" w:lineRule="atLeast"/>
              <w:jc w:val="both"/>
              <w:rPr>
                <w:rFonts w:eastAsia="Verdana"/>
                <w:b/>
                <w:szCs w:val="22"/>
              </w:rPr>
            </w:pPr>
            <w:r w:rsidRPr="00230E1C">
              <w:rPr>
                <w:b/>
                <w:sz w:val="22"/>
                <w:szCs w:val="22"/>
              </w:rPr>
              <w:t>Assessed</w:t>
            </w:r>
            <w:r w:rsidRPr="00230E1C">
              <w:rPr>
                <w:rFonts w:eastAsia="Verdana"/>
                <w:b/>
                <w:sz w:val="22"/>
                <w:szCs w:val="22"/>
              </w:rPr>
              <w:t xml:space="preserve"> </w:t>
            </w:r>
            <w:r w:rsidRPr="00230E1C">
              <w:rPr>
                <w:b/>
                <w:sz w:val="22"/>
                <w:szCs w:val="22"/>
              </w:rPr>
              <w:t>by:</w:t>
            </w:r>
            <w:r w:rsidRPr="00230E1C">
              <w:rPr>
                <w:rFonts w:eastAsia="Verdana"/>
                <w:b/>
                <w:sz w:val="22"/>
                <w:szCs w:val="22"/>
              </w:rPr>
              <w:t xml:space="preserve"> </w:t>
            </w:r>
          </w:p>
          <w:p w:rsidR="00ED0BB6" w:rsidRPr="00230E1C" w:rsidRDefault="00230E1C" w:rsidP="00423A50">
            <w:pPr>
              <w:spacing w:after="0" w:line="100" w:lineRule="atLeast"/>
              <w:jc w:val="both"/>
              <w:rPr>
                <w:szCs w:val="22"/>
              </w:rPr>
            </w:pPr>
            <w:r w:rsidRPr="00230E1C">
              <w:rPr>
                <w:sz w:val="22"/>
                <w:szCs w:val="22"/>
              </w:rPr>
              <w:t>Matthew J Cliff</w:t>
            </w:r>
          </w:p>
        </w:tc>
        <w:tc>
          <w:tcPr>
            <w:tcW w:w="2427" w:type="dxa"/>
            <w:tcBorders>
              <w:top w:val="single" w:sz="4" w:space="0" w:color="000001"/>
              <w:left w:val="single" w:sz="4" w:space="0" w:color="000001"/>
              <w:bottom w:val="single" w:sz="4" w:space="0" w:color="000001"/>
              <w:right w:val="nil"/>
            </w:tcBorders>
            <w:shd w:val="clear" w:color="auto" w:fill="CCFFFF"/>
            <w:tcMar>
              <w:left w:w="0" w:type="dxa"/>
            </w:tcMar>
          </w:tcPr>
          <w:p w:rsidR="00ED0BB6" w:rsidRPr="00230E1C" w:rsidRDefault="00230E1C" w:rsidP="00423A50">
            <w:pPr>
              <w:spacing w:after="0" w:line="100" w:lineRule="atLeast"/>
              <w:jc w:val="both"/>
              <w:rPr>
                <w:rFonts w:eastAsia="Verdana"/>
                <w:szCs w:val="22"/>
              </w:rPr>
            </w:pPr>
            <w:r w:rsidRPr="00230E1C">
              <w:rPr>
                <w:b/>
                <w:sz w:val="22"/>
                <w:szCs w:val="22"/>
              </w:rPr>
              <w:t>Validated</w:t>
            </w:r>
            <w:r w:rsidRPr="00230E1C">
              <w:rPr>
                <w:rFonts w:eastAsia="Verdana"/>
                <w:b/>
                <w:sz w:val="22"/>
                <w:szCs w:val="22"/>
              </w:rPr>
              <w:t xml:space="preserve"> </w:t>
            </w:r>
            <w:r w:rsidRPr="00230E1C">
              <w:rPr>
                <w:b/>
                <w:sz w:val="22"/>
                <w:szCs w:val="22"/>
              </w:rPr>
              <w:t>by</w:t>
            </w:r>
            <w:r w:rsidRPr="00230E1C">
              <w:rPr>
                <w:sz w:val="22"/>
                <w:szCs w:val="22"/>
              </w:rPr>
              <w:t>:</w:t>
            </w:r>
            <w:r w:rsidRPr="00230E1C">
              <w:rPr>
                <w:rFonts w:eastAsia="Verdana"/>
                <w:sz w:val="22"/>
                <w:szCs w:val="22"/>
              </w:rPr>
              <w:t xml:space="preserve"> </w:t>
            </w:r>
          </w:p>
        </w:tc>
        <w:tc>
          <w:tcPr>
            <w:tcW w:w="3025" w:type="dxa"/>
            <w:tcBorders>
              <w:top w:val="single" w:sz="4" w:space="0" w:color="000001"/>
              <w:left w:val="single" w:sz="4" w:space="0" w:color="000001"/>
              <w:bottom w:val="single" w:sz="4" w:space="0" w:color="000001"/>
              <w:right w:val="nil"/>
            </w:tcBorders>
            <w:shd w:val="clear" w:color="auto" w:fill="CCFFFF"/>
            <w:tcMar>
              <w:left w:w="0" w:type="dxa"/>
            </w:tcMar>
          </w:tcPr>
          <w:p w:rsidR="00ED0BB6" w:rsidRPr="00230E1C" w:rsidRDefault="00230E1C" w:rsidP="00423A50">
            <w:pPr>
              <w:spacing w:after="0" w:line="100" w:lineRule="atLeast"/>
              <w:jc w:val="both"/>
              <w:rPr>
                <w:rFonts w:eastAsia="Verdana"/>
                <w:szCs w:val="22"/>
              </w:rPr>
            </w:pPr>
            <w:r w:rsidRPr="00230E1C">
              <w:rPr>
                <w:sz w:val="22"/>
                <w:szCs w:val="22"/>
              </w:rPr>
              <w:t>Location:</w:t>
            </w:r>
            <w:r w:rsidRPr="00230E1C">
              <w:rPr>
                <w:rFonts w:eastAsia="Verdana"/>
                <w:sz w:val="22"/>
                <w:szCs w:val="22"/>
              </w:rPr>
              <w:t xml:space="preserve">  MIB NMR facility LG029</w:t>
            </w:r>
          </w:p>
        </w:tc>
        <w:tc>
          <w:tcPr>
            <w:tcW w:w="3307" w:type="dxa"/>
            <w:tcBorders>
              <w:top w:val="single" w:sz="4" w:space="0" w:color="000001"/>
              <w:left w:val="single" w:sz="4" w:space="0" w:color="000001"/>
              <w:bottom w:val="single" w:sz="4" w:space="0" w:color="000001"/>
              <w:right w:val="single" w:sz="4" w:space="0" w:color="000001"/>
            </w:tcBorders>
            <w:shd w:val="clear" w:color="auto" w:fill="CCFFFF"/>
            <w:tcMar>
              <w:left w:w="0" w:type="dxa"/>
            </w:tcMar>
          </w:tcPr>
          <w:p w:rsidR="00ED0BB6" w:rsidRPr="00230E1C" w:rsidRDefault="00230E1C" w:rsidP="00423A50">
            <w:pPr>
              <w:spacing w:after="0" w:line="100" w:lineRule="atLeast"/>
              <w:jc w:val="both"/>
              <w:rPr>
                <w:color w:val="000000"/>
                <w:szCs w:val="22"/>
              </w:rPr>
            </w:pPr>
            <w:r w:rsidRPr="00230E1C">
              <w:rPr>
                <w:sz w:val="22"/>
                <w:szCs w:val="22"/>
              </w:rPr>
              <w:t>Review</w:t>
            </w:r>
            <w:r w:rsidRPr="00230E1C">
              <w:rPr>
                <w:rFonts w:eastAsia="Verdana"/>
                <w:sz w:val="22"/>
                <w:szCs w:val="22"/>
              </w:rPr>
              <w:t xml:space="preserve"> </w:t>
            </w:r>
            <w:r w:rsidRPr="00230E1C">
              <w:rPr>
                <w:sz w:val="22"/>
                <w:szCs w:val="22"/>
              </w:rPr>
              <w:t>date:</w:t>
            </w:r>
            <w:r w:rsidRPr="00230E1C">
              <w:rPr>
                <w:rFonts w:eastAsia="Verdana"/>
                <w:sz w:val="22"/>
                <w:szCs w:val="22"/>
              </w:rPr>
              <w:t xml:space="preserve"> </w:t>
            </w:r>
            <w:r w:rsidRPr="00230E1C">
              <w:rPr>
                <w:color w:val="000000"/>
                <w:sz w:val="22"/>
                <w:szCs w:val="22"/>
              </w:rPr>
              <w:t>31/08/2015</w:t>
            </w:r>
          </w:p>
        </w:tc>
      </w:tr>
      <w:tr w:rsidR="00ED0BB6" w:rsidRPr="00230E1C" w:rsidTr="00230E1C">
        <w:trPr>
          <w:cantSplit/>
          <w:jc w:val="center"/>
        </w:trPr>
        <w:tc>
          <w:tcPr>
            <w:tcW w:w="13929" w:type="dxa"/>
            <w:gridSpan w:val="5"/>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D0BB6" w:rsidRPr="00230E1C" w:rsidRDefault="00230E1C" w:rsidP="00423A50">
            <w:pPr>
              <w:spacing w:after="0" w:line="100" w:lineRule="atLeast"/>
              <w:jc w:val="both"/>
              <w:rPr>
                <w:rFonts w:eastAsia="Verdana"/>
                <w:szCs w:val="22"/>
              </w:rPr>
            </w:pPr>
            <w:r w:rsidRPr="00230E1C">
              <w:rPr>
                <w:b/>
                <w:sz w:val="22"/>
                <w:szCs w:val="22"/>
              </w:rPr>
              <w:t>Task</w:t>
            </w:r>
            <w:r w:rsidRPr="00230E1C">
              <w:rPr>
                <w:rFonts w:eastAsia="Verdana"/>
                <w:b/>
                <w:sz w:val="22"/>
                <w:szCs w:val="22"/>
              </w:rPr>
              <w:t xml:space="preserve"> </w:t>
            </w:r>
            <w:r w:rsidRPr="00230E1C">
              <w:rPr>
                <w:b/>
                <w:sz w:val="22"/>
                <w:szCs w:val="22"/>
              </w:rPr>
              <w:t>/</w:t>
            </w:r>
            <w:r w:rsidRPr="00230E1C">
              <w:rPr>
                <w:rFonts w:eastAsia="Verdana"/>
                <w:b/>
                <w:sz w:val="22"/>
                <w:szCs w:val="22"/>
              </w:rPr>
              <w:t xml:space="preserve"> </w:t>
            </w:r>
            <w:r w:rsidRPr="00230E1C">
              <w:rPr>
                <w:b/>
                <w:sz w:val="22"/>
                <w:szCs w:val="22"/>
              </w:rPr>
              <w:t>premises</w:t>
            </w:r>
            <w:r w:rsidRPr="00230E1C">
              <w:rPr>
                <w:sz w:val="22"/>
                <w:szCs w:val="22"/>
              </w:rPr>
              <w:t>:</w:t>
            </w:r>
            <w:r w:rsidRPr="00230E1C">
              <w:rPr>
                <w:rFonts w:eastAsia="Verdana"/>
                <w:sz w:val="22"/>
                <w:szCs w:val="22"/>
              </w:rPr>
              <w:t xml:space="preserve"> Use and maintenance of high field NMR spectrometers. Principal dangers arise from the superconducting magnets. These are very strong magnets, which have inherent dangers. In addition, the superconducting coils are cooled by liquid helium, which is in turn cooled by liquid nitrogen. </w:t>
            </w:r>
          </w:p>
          <w:p w:rsidR="00ED0BB6" w:rsidRPr="00230E1C" w:rsidRDefault="00ED0BB6" w:rsidP="00423A50">
            <w:pPr>
              <w:spacing w:after="0" w:line="100" w:lineRule="atLeast"/>
              <w:jc w:val="both"/>
              <w:rPr>
                <w:szCs w:val="22"/>
              </w:rPr>
            </w:pPr>
          </w:p>
          <w:p w:rsidR="00ED0BB6" w:rsidRPr="00230E1C" w:rsidRDefault="00230E1C" w:rsidP="00423A50">
            <w:pPr>
              <w:spacing w:after="0" w:line="100" w:lineRule="atLeast"/>
              <w:jc w:val="both"/>
              <w:rPr>
                <w:rFonts w:eastAsia="Verdana"/>
                <w:szCs w:val="22"/>
              </w:rPr>
            </w:pPr>
            <w:r w:rsidRPr="00230E1C">
              <w:rPr>
                <w:rFonts w:eastAsia="Verdana"/>
                <w:sz w:val="22"/>
                <w:szCs w:val="22"/>
              </w:rPr>
              <w:t>Increase in the liquid helium temperature will result in sudden increase in resistance in the superconductor, which then produces heat, warming the helium further, and causing a positive feedback loop. The result is “quenching” of the magnet which involved the rapid boil-off of the helium and nitrogen.  The volume of the room is large enough to ensure that all the oxygen would not be displaced, and the helium rapidly dissipates. There are low level and high level oxygen depletion monitors in the room.</w:t>
            </w:r>
          </w:p>
          <w:p w:rsidR="00ED0BB6" w:rsidRPr="00230E1C" w:rsidRDefault="00ED0BB6" w:rsidP="00423A50">
            <w:pPr>
              <w:spacing w:after="0" w:line="100" w:lineRule="atLeast"/>
              <w:jc w:val="both"/>
              <w:rPr>
                <w:szCs w:val="22"/>
              </w:rPr>
            </w:pPr>
          </w:p>
          <w:p w:rsidR="00ED0BB6" w:rsidRPr="00230E1C" w:rsidRDefault="00230E1C" w:rsidP="00423A50">
            <w:pPr>
              <w:spacing w:after="0" w:line="100" w:lineRule="atLeast"/>
              <w:jc w:val="both"/>
              <w:rPr>
                <w:rFonts w:eastAsia="Verdana"/>
                <w:szCs w:val="22"/>
              </w:rPr>
            </w:pPr>
            <w:r w:rsidRPr="00230E1C">
              <w:rPr>
                <w:rFonts w:eastAsia="Verdana"/>
                <w:sz w:val="22"/>
                <w:szCs w:val="22"/>
              </w:rPr>
              <w:t xml:space="preserve">Quenching is principally avoided through regular refilling with liquid nitrogen (weekly) and helium (5-6 weeks). NB. Installation of nitrogen liquefaction on 500 MHz and 800 MHz spectrometers reduces nitrogen refill frequency to 6 months, unless this is switched off. </w:t>
            </w:r>
          </w:p>
          <w:p w:rsidR="00ED0BB6" w:rsidRPr="00230E1C" w:rsidRDefault="00ED0BB6" w:rsidP="00423A50">
            <w:pPr>
              <w:spacing w:after="0" w:line="100" w:lineRule="atLeast"/>
              <w:jc w:val="both"/>
              <w:rPr>
                <w:szCs w:val="22"/>
              </w:rPr>
            </w:pPr>
          </w:p>
          <w:p w:rsidR="00230E1C" w:rsidRPr="00230E1C" w:rsidRDefault="00230E1C" w:rsidP="00423A50">
            <w:pPr>
              <w:spacing w:after="0" w:line="100" w:lineRule="atLeast"/>
              <w:jc w:val="both"/>
              <w:rPr>
                <w:rFonts w:eastAsia="Verdana"/>
                <w:szCs w:val="22"/>
              </w:rPr>
            </w:pPr>
            <w:r w:rsidRPr="00230E1C">
              <w:rPr>
                <w:rFonts w:eastAsia="Verdana"/>
                <w:sz w:val="22"/>
                <w:szCs w:val="22"/>
              </w:rPr>
              <w:t xml:space="preserve">Some risks may be associated with samples; the room containing the spectrometers is a “closed vessel” only environment, and no sample manipulation should take place in this room. There is a separate preparation laboratory for this purpose. Samples with significant associated risk should have an additional risk assessment completed, and use </w:t>
            </w:r>
            <w:proofErr w:type="spellStart"/>
            <w:r w:rsidRPr="00230E1C">
              <w:rPr>
                <w:rFonts w:eastAsia="Verdana"/>
                <w:sz w:val="22"/>
                <w:szCs w:val="22"/>
              </w:rPr>
              <w:t>teflon</w:t>
            </w:r>
            <w:proofErr w:type="spellEnd"/>
            <w:r w:rsidRPr="00230E1C">
              <w:rPr>
                <w:rFonts w:eastAsia="Verdana"/>
                <w:sz w:val="22"/>
                <w:szCs w:val="22"/>
              </w:rPr>
              <w:t xml:space="preserve"> tube liners where appropriate.</w:t>
            </w:r>
          </w:p>
        </w:tc>
      </w:tr>
    </w:tbl>
    <w:p w:rsidR="00230E1C" w:rsidRDefault="00230E1C" w:rsidP="00423A50">
      <w:pPr>
        <w:jc w:val="both"/>
      </w:pP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0" w:type="dxa"/>
          <w:right w:w="10" w:type="dxa"/>
        </w:tblCellMar>
        <w:tblLook w:val="04A0" w:firstRow="1" w:lastRow="0" w:firstColumn="1" w:lastColumn="0" w:noHBand="0" w:noVBand="1"/>
      </w:tblPr>
      <w:tblGrid>
        <w:gridCol w:w="1893"/>
        <w:gridCol w:w="1688"/>
        <w:gridCol w:w="2441"/>
        <w:gridCol w:w="6215"/>
        <w:gridCol w:w="868"/>
        <w:gridCol w:w="912"/>
      </w:tblGrid>
      <w:tr w:rsidR="00ED0BB6" w:rsidRPr="00230E1C" w:rsidTr="00885A83">
        <w:trPr>
          <w:tblHeader/>
          <w:jc w:val="center"/>
        </w:trPr>
        <w:tc>
          <w:tcPr>
            <w:tcW w:w="1893" w:type="dxa"/>
            <w:tcBorders>
              <w:top w:val="single" w:sz="4" w:space="0" w:color="000001"/>
              <w:left w:val="single" w:sz="4" w:space="0" w:color="000001"/>
              <w:bottom w:val="single" w:sz="4" w:space="0" w:color="000001"/>
              <w:right w:val="nil"/>
            </w:tcBorders>
            <w:shd w:val="clear" w:color="auto" w:fill="CCFFFF"/>
            <w:tcMar>
              <w:left w:w="0" w:type="dxa"/>
            </w:tcMar>
          </w:tcPr>
          <w:p w:rsidR="00ED0BB6" w:rsidRPr="00230E1C" w:rsidRDefault="00230E1C" w:rsidP="00423A50">
            <w:pPr>
              <w:spacing w:after="0" w:line="100" w:lineRule="atLeast"/>
              <w:jc w:val="both"/>
              <w:rPr>
                <w:rFonts w:eastAsia="Verdana"/>
                <w:szCs w:val="22"/>
              </w:rPr>
            </w:pPr>
            <w:r w:rsidRPr="00230E1C">
              <w:rPr>
                <w:sz w:val="22"/>
                <w:szCs w:val="22"/>
              </w:rPr>
              <w:t>Activity</w:t>
            </w:r>
            <w:r w:rsidRPr="00230E1C">
              <w:rPr>
                <w:rFonts w:eastAsia="Verdana"/>
                <w:sz w:val="22"/>
                <w:szCs w:val="22"/>
              </w:rPr>
              <w:t xml:space="preserve"> </w:t>
            </w:r>
          </w:p>
        </w:tc>
        <w:tc>
          <w:tcPr>
            <w:tcW w:w="1688" w:type="dxa"/>
            <w:tcBorders>
              <w:top w:val="single" w:sz="4" w:space="0" w:color="000001"/>
              <w:left w:val="single" w:sz="4" w:space="0" w:color="000001"/>
              <w:bottom w:val="single" w:sz="4" w:space="0" w:color="000001"/>
              <w:right w:val="nil"/>
            </w:tcBorders>
            <w:shd w:val="clear" w:color="auto" w:fill="CCFFFF"/>
            <w:tcMar>
              <w:left w:w="0" w:type="dxa"/>
            </w:tcMar>
          </w:tcPr>
          <w:p w:rsidR="00ED0BB6" w:rsidRPr="00230E1C" w:rsidRDefault="00230E1C" w:rsidP="00423A50">
            <w:pPr>
              <w:spacing w:after="0" w:line="100" w:lineRule="atLeast"/>
              <w:jc w:val="both"/>
              <w:rPr>
                <w:rFonts w:eastAsia="Verdana"/>
                <w:szCs w:val="22"/>
              </w:rPr>
            </w:pPr>
            <w:r w:rsidRPr="00230E1C">
              <w:rPr>
                <w:sz w:val="22"/>
                <w:szCs w:val="22"/>
              </w:rPr>
              <w:t>Hazard</w:t>
            </w:r>
            <w:r w:rsidRPr="00230E1C">
              <w:rPr>
                <w:rFonts w:eastAsia="Verdana"/>
                <w:sz w:val="22"/>
                <w:szCs w:val="22"/>
              </w:rPr>
              <w:t xml:space="preserve"> </w:t>
            </w:r>
          </w:p>
        </w:tc>
        <w:tc>
          <w:tcPr>
            <w:tcW w:w="2441" w:type="dxa"/>
            <w:tcBorders>
              <w:top w:val="single" w:sz="4" w:space="0" w:color="000001"/>
              <w:left w:val="single" w:sz="4" w:space="0" w:color="000001"/>
              <w:bottom w:val="single" w:sz="4" w:space="0" w:color="000001"/>
              <w:right w:val="nil"/>
            </w:tcBorders>
            <w:shd w:val="clear" w:color="auto" w:fill="CCFFFF"/>
            <w:tcMar>
              <w:left w:w="0" w:type="dxa"/>
            </w:tcMar>
          </w:tcPr>
          <w:p w:rsidR="00ED0BB6" w:rsidRPr="00230E1C" w:rsidRDefault="00230E1C" w:rsidP="00423A50">
            <w:pPr>
              <w:spacing w:after="0" w:line="100" w:lineRule="atLeast"/>
              <w:jc w:val="both"/>
              <w:rPr>
                <w:rFonts w:eastAsia="Verdana"/>
                <w:szCs w:val="22"/>
              </w:rPr>
            </w:pPr>
            <w:r w:rsidRPr="00230E1C">
              <w:rPr>
                <w:sz w:val="22"/>
                <w:szCs w:val="22"/>
              </w:rPr>
              <w:t>Who</w:t>
            </w:r>
            <w:r w:rsidRPr="00230E1C">
              <w:rPr>
                <w:rFonts w:eastAsia="Verdana"/>
                <w:sz w:val="22"/>
                <w:szCs w:val="22"/>
              </w:rPr>
              <w:t xml:space="preserve"> </w:t>
            </w:r>
            <w:r w:rsidRPr="00230E1C">
              <w:rPr>
                <w:sz w:val="22"/>
                <w:szCs w:val="22"/>
              </w:rPr>
              <w:t>might</w:t>
            </w:r>
            <w:r w:rsidRPr="00230E1C">
              <w:rPr>
                <w:rFonts w:eastAsia="Verdana"/>
                <w:sz w:val="22"/>
                <w:szCs w:val="22"/>
              </w:rPr>
              <w:t xml:space="preserve"> </w:t>
            </w:r>
            <w:r w:rsidRPr="00230E1C">
              <w:rPr>
                <w:sz w:val="22"/>
                <w:szCs w:val="22"/>
              </w:rPr>
              <w:t>be</w:t>
            </w:r>
            <w:r w:rsidRPr="00230E1C">
              <w:rPr>
                <w:rFonts w:eastAsia="Verdana"/>
                <w:sz w:val="22"/>
                <w:szCs w:val="22"/>
              </w:rPr>
              <w:t xml:space="preserve"> </w:t>
            </w:r>
            <w:r w:rsidRPr="00230E1C">
              <w:rPr>
                <w:sz w:val="22"/>
                <w:szCs w:val="22"/>
              </w:rPr>
              <w:t>harmed</w:t>
            </w:r>
            <w:r w:rsidRPr="00230E1C">
              <w:rPr>
                <w:rFonts w:eastAsia="Verdana"/>
                <w:sz w:val="22"/>
                <w:szCs w:val="22"/>
              </w:rPr>
              <w:t xml:space="preserve"> </w:t>
            </w:r>
            <w:r w:rsidRPr="00230E1C">
              <w:rPr>
                <w:sz w:val="22"/>
                <w:szCs w:val="22"/>
              </w:rPr>
              <w:t>and</w:t>
            </w:r>
            <w:r w:rsidRPr="00230E1C">
              <w:rPr>
                <w:rFonts w:eastAsia="Verdana"/>
                <w:sz w:val="22"/>
                <w:szCs w:val="22"/>
              </w:rPr>
              <w:t xml:space="preserve"> </w:t>
            </w:r>
            <w:r w:rsidRPr="00230E1C">
              <w:rPr>
                <w:sz w:val="22"/>
                <w:szCs w:val="22"/>
              </w:rPr>
              <w:t>how</w:t>
            </w:r>
            <w:r w:rsidRPr="00230E1C">
              <w:rPr>
                <w:rFonts w:eastAsia="Verdana"/>
                <w:sz w:val="22"/>
                <w:szCs w:val="22"/>
              </w:rPr>
              <w:t xml:space="preserve"> </w:t>
            </w:r>
          </w:p>
        </w:tc>
        <w:tc>
          <w:tcPr>
            <w:tcW w:w="6215" w:type="dxa"/>
            <w:tcBorders>
              <w:top w:val="single" w:sz="4" w:space="0" w:color="000001"/>
              <w:left w:val="single" w:sz="4" w:space="0" w:color="000001"/>
              <w:bottom w:val="single" w:sz="4" w:space="0" w:color="000001"/>
              <w:right w:val="nil"/>
            </w:tcBorders>
            <w:shd w:val="clear" w:color="auto" w:fill="CCFFFF"/>
            <w:tcMar>
              <w:left w:w="0" w:type="dxa"/>
            </w:tcMar>
          </w:tcPr>
          <w:p w:rsidR="00ED0BB6" w:rsidRPr="00230E1C" w:rsidRDefault="00230E1C" w:rsidP="00423A50">
            <w:pPr>
              <w:spacing w:after="0" w:line="100" w:lineRule="atLeast"/>
              <w:jc w:val="both"/>
              <w:rPr>
                <w:rFonts w:eastAsia="Verdana"/>
                <w:szCs w:val="22"/>
              </w:rPr>
            </w:pPr>
            <w:r w:rsidRPr="00230E1C">
              <w:rPr>
                <w:sz w:val="22"/>
                <w:szCs w:val="22"/>
              </w:rPr>
              <w:t>Existing</w:t>
            </w:r>
            <w:r w:rsidRPr="00230E1C">
              <w:rPr>
                <w:rFonts w:eastAsia="Verdana"/>
                <w:sz w:val="22"/>
                <w:szCs w:val="22"/>
              </w:rPr>
              <w:t xml:space="preserve"> </w:t>
            </w:r>
            <w:r w:rsidRPr="00230E1C">
              <w:rPr>
                <w:sz w:val="22"/>
                <w:szCs w:val="22"/>
              </w:rPr>
              <w:t>measures</w:t>
            </w:r>
            <w:r w:rsidRPr="00230E1C">
              <w:rPr>
                <w:rFonts w:eastAsia="Verdana"/>
                <w:sz w:val="22"/>
                <w:szCs w:val="22"/>
              </w:rPr>
              <w:t xml:space="preserve"> </w:t>
            </w:r>
            <w:r w:rsidRPr="00230E1C">
              <w:rPr>
                <w:sz w:val="22"/>
                <w:szCs w:val="22"/>
              </w:rPr>
              <w:t>to</w:t>
            </w:r>
            <w:r w:rsidRPr="00230E1C">
              <w:rPr>
                <w:rFonts w:eastAsia="Verdana"/>
                <w:sz w:val="22"/>
                <w:szCs w:val="22"/>
              </w:rPr>
              <w:t xml:space="preserve"> </w:t>
            </w:r>
            <w:r w:rsidRPr="00230E1C">
              <w:rPr>
                <w:sz w:val="22"/>
                <w:szCs w:val="22"/>
              </w:rPr>
              <w:t>control</w:t>
            </w:r>
            <w:r w:rsidRPr="00230E1C">
              <w:rPr>
                <w:rFonts w:eastAsia="Verdana"/>
                <w:sz w:val="22"/>
                <w:szCs w:val="22"/>
              </w:rPr>
              <w:t xml:space="preserve"> </w:t>
            </w:r>
            <w:r w:rsidRPr="00230E1C">
              <w:rPr>
                <w:sz w:val="22"/>
                <w:szCs w:val="22"/>
              </w:rPr>
              <w:t>risk</w:t>
            </w:r>
            <w:r w:rsidRPr="00230E1C">
              <w:rPr>
                <w:rFonts w:eastAsia="Verdana"/>
                <w:sz w:val="22"/>
                <w:szCs w:val="22"/>
              </w:rPr>
              <w:t xml:space="preserve"> </w:t>
            </w:r>
          </w:p>
        </w:tc>
        <w:tc>
          <w:tcPr>
            <w:tcW w:w="868" w:type="dxa"/>
            <w:tcBorders>
              <w:top w:val="single" w:sz="4" w:space="0" w:color="000001"/>
              <w:left w:val="single" w:sz="4" w:space="0" w:color="000001"/>
              <w:bottom w:val="single" w:sz="4" w:space="0" w:color="000001"/>
              <w:right w:val="nil"/>
            </w:tcBorders>
            <w:shd w:val="clear" w:color="auto" w:fill="CCFFFF"/>
            <w:tcMar>
              <w:left w:w="0" w:type="dxa"/>
            </w:tcMar>
          </w:tcPr>
          <w:p w:rsidR="00ED0BB6" w:rsidRPr="00230E1C" w:rsidRDefault="00230E1C" w:rsidP="00423A50">
            <w:pPr>
              <w:spacing w:after="0" w:line="100" w:lineRule="atLeast"/>
              <w:jc w:val="both"/>
              <w:rPr>
                <w:rFonts w:eastAsia="Verdana"/>
                <w:szCs w:val="22"/>
              </w:rPr>
            </w:pPr>
            <w:r w:rsidRPr="00230E1C">
              <w:rPr>
                <w:sz w:val="22"/>
                <w:szCs w:val="22"/>
              </w:rPr>
              <w:t>Risk</w:t>
            </w:r>
            <w:r w:rsidRPr="00230E1C">
              <w:rPr>
                <w:rFonts w:eastAsia="Verdana"/>
                <w:sz w:val="22"/>
                <w:szCs w:val="22"/>
              </w:rPr>
              <w:t xml:space="preserve"> </w:t>
            </w:r>
            <w:r w:rsidRPr="00230E1C">
              <w:rPr>
                <w:sz w:val="22"/>
                <w:szCs w:val="22"/>
              </w:rPr>
              <w:t>rating</w:t>
            </w:r>
            <w:r w:rsidRPr="00230E1C">
              <w:rPr>
                <w:rFonts w:eastAsia="Verdana"/>
                <w:sz w:val="22"/>
                <w:szCs w:val="22"/>
              </w:rPr>
              <w:t xml:space="preserve"> </w:t>
            </w:r>
          </w:p>
        </w:tc>
        <w:tc>
          <w:tcPr>
            <w:tcW w:w="912" w:type="dxa"/>
            <w:tcBorders>
              <w:top w:val="single" w:sz="4" w:space="0" w:color="000001"/>
              <w:left w:val="single" w:sz="4" w:space="0" w:color="000001"/>
              <w:bottom w:val="single" w:sz="4" w:space="0" w:color="000001"/>
              <w:right w:val="single" w:sz="4" w:space="0" w:color="000001"/>
            </w:tcBorders>
            <w:shd w:val="clear" w:color="auto" w:fill="CCFFFF"/>
            <w:tcMar>
              <w:left w:w="0" w:type="dxa"/>
            </w:tcMar>
          </w:tcPr>
          <w:p w:rsidR="00ED0BB6" w:rsidRPr="00230E1C" w:rsidRDefault="00230E1C" w:rsidP="00423A50">
            <w:pPr>
              <w:spacing w:after="0" w:line="100" w:lineRule="atLeast"/>
              <w:jc w:val="both"/>
              <w:rPr>
                <w:rFonts w:eastAsia="Verdana"/>
                <w:szCs w:val="22"/>
              </w:rPr>
            </w:pPr>
            <w:r w:rsidRPr="00230E1C">
              <w:rPr>
                <w:sz w:val="22"/>
                <w:szCs w:val="22"/>
              </w:rPr>
              <w:t>Result</w:t>
            </w:r>
            <w:r w:rsidRPr="00230E1C">
              <w:rPr>
                <w:rFonts w:eastAsia="Verdana"/>
                <w:sz w:val="22"/>
                <w:szCs w:val="22"/>
              </w:rPr>
              <w:t xml:space="preserve"> </w:t>
            </w:r>
          </w:p>
        </w:tc>
      </w:tr>
      <w:tr w:rsidR="00ED0BB6" w:rsidRPr="00230E1C" w:rsidTr="00230E1C">
        <w:trPr>
          <w:jc w:val="center"/>
        </w:trPr>
        <w:tc>
          <w:tcPr>
            <w:tcW w:w="1893"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Use of NMR Magnets</w:t>
            </w:r>
          </w:p>
          <w:p w:rsidR="00ED0BB6" w:rsidRPr="00230E1C" w:rsidRDefault="00ED0BB6" w:rsidP="00423A50">
            <w:pPr>
              <w:spacing w:after="0" w:line="100" w:lineRule="atLeast"/>
              <w:jc w:val="both"/>
              <w:rPr>
                <w:szCs w:val="22"/>
              </w:rPr>
            </w:pPr>
          </w:p>
        </w:tc>
        <w:tc>
          <w:tcPr>
            <w:tcW w:w="168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Magnetic field</w:t>
            </w:r>
          </w:p>
        </w:tc>
        <w:tc>
          <w:tcPr>
            <w:tcW w:w="2441" w:type="dxa"/>
            <w:tcBorders>
              <w:top w:val="single" w:sz="4" w:space="0" w:color="000001"/>
              <w:left w:val="single" w:sz="4" w:space="0" w:color="000001"/>
              <w:bottom w:val="single" w:sz="4" w:space="0" w:color="000001"/>
              <w:right w:val="nil"/>
            </w:tcBorders>
            <w:shd w:val="clear" w:color="auto" w:fill="FFFFFF"/>
            <w:tcMar>
              <w:left w:w="0" w:type="dxa"/>
            </w:tcMar>
          </w:tcPr>
          <w:p w:rsidR="00230E1C" w:rsidRPr="00230E1C" w:rsidRDefault="00230E1C" w:rsidP="00423A50">
            <w:pPr>
              <w:spacing w:after="0" w:line="100" w:lineRule="atLeast"/>
              <w:jc w:val="both"/>
              <w:rPr>
                <w:szCs w:val="22"/>
              </w:rPr>
            </w:pPr>
            <w:r w:rsidRPr="00230E1C">
              <w:rPr>
                <w:sz w:val="22"/>
                <w:szCs w:val="22"/>
              </w:rPr>
              <w:t>People in magnet room; particularly vu</w:t>
            </w:r>
            <w:r>
              <w:rPr>
                <w:sz w:val="22"/>
                <w:szCs w:val="22"/>
              </w:rPr>
              <w:t>l</w:t>
            </w:r>
            <w:r w:rsidRPr="00230E1C">
              <w:rPr>
                <w:sz w:val="22"/>
                <w:szCs w:val="22"/>
              </w:rPr>
              <w:t xml:space="preserve">nerable are those with heart pacemakers and cochlear implants, as magnet will cause their failure. </w:t>
            </w:r>
          </w:p>
          <w:p w:rsidR="00230E1C" w:rsidRPr="00230E1C" w:rsidRDefault="00230E1C" w:rsidP="00423A50">
            <w:pPr>
              <w:spacing w:after="0" w:line="100" w:lineRule="atLeast"/>
              <w:jc w:val="both"/>
              <w:rPr>
                <w:szCs w:val="22"/>
              </w:rPr>
            </w:pPr>
            <w:r w:rsidRPr="00230E1C">
              <w:rPr>
                <w:sz w:val="22"/>
                <w:szCs w:val="22"/>
              </w:rPr>
              <w:t>Injury from moving ferromagnetic objects attracted to magnets</w:t>
            </w:r>
          </w:p>
          <w:p w:rsidR="00ED0BB6" w:rsidRPr="00230E1C" w:rsidRDefault="00ED0BB6" w:rsidP="00423A50">
            <w:pPr>
              <w:spacing w:after="0" w:line="100" w:lineRule="atLeast"/>
              <w:jc w:val="both"/>
              <w:rPr>
                <w:szCs w:val="22"/>
              </w:rPr>
            </w:pPr>
          </w:p>
        </w:tc>
        <w:tc>
          <w:tcPr>
            <w:tcW w:w="6215" w:type="dxa"/>
            <w:tcBorders>
              <w:top w:val="single" w:sz="4" w:space="0" w:color="000001"/>
              <w:left w:val="single" w:sz="4" w:space="0" w:color="000001"/>
              <w:bottom w:val="single" w:sz="4" w:space="0" w:color="000001"/>
              <w:right w:val="nil"/>
            </w:tcBorders>
            <w:shd w:val="clear" w:color="auto" w:fill="FFFFFF"/>
            <w:tcMar>
              <w:left w:w="0" w:type="dxa"/>
            </w:tcMar>
          </w:tcPr>
          <w:p w:rsidR="00423A50" w:rsidRPr="00423A50" w:rsidRDefault="00230E1C" w:rsidP="00423A50">
            <w:pPr>
              <w:pStyle w:val="ListParagraph"/>
              <w:numPr>
                <w:ilvl w:val="0"/>
                <w:numId w:val="8"/>
              </w:numPr>
              <w:tabs>
                <w:tab w:val="left" w:pos="634"/>
              </w:tabs>
              <w:spacing w:after="0" w:line="100" w:lineRule="atLeast"/>
              <w:jc w:val="both"/>
              <w:rPr>
                <w:szCs w:val="22"/>
              </w:rPr>
            </w:pPr>
            <w:r w:rsidRPr="00423A50">
              <w:rPr>
                <w:sz w:val="22"/>
                <w:szCs w:val="22"/>
              </w:rPr>
              <w:lastRenderedPageBreak/>
              <w:t>Safety training for all persons entering NMR facility addresses dangers of working with magnetic fields</w:t>
            </w:r>
          </w:p>
          <w:p w:rsidR="00423A50" w:rsidRPr="00423A50" w:rsidRDefault="00230E1C" w:rsidP="00423A50">
            <w:pPr>
              <w:pStyle w:val="ListParagraph"/>
              <w:numPr>
                <w:ilvl w:val="0"/>
                <w:numId w:val="8"/>
              </w:numPr>
              <w:tabs>
                <w:tab w:val="left" w:pos="634"/>
              </w:tabs>
              <w:spacing w:after="0" w:line="100" w:lineRule="atLeast"/>
              <w:jc w:val="both"/>
              <w:rPr>
                <w:szCs w:val="22"/>
              </w:rPr>
            </w:pPr>
            <w:r w:rsidRPr="00423A50">
              <w:rPr>
                <w:sz w:val="22"/>
                <w:szCs w:val="22"/>
              </w:rPr>
              <w:t>Swipe card access not authorised until safety training to the facility has been completed.</w:t>
            </w:r>
          </w:p>
          <w:p w:rsidR="00423A50" w:rsidRPr="00423A50" w:rsidRDefault="00230E1C" w:rsidP="00423A50">
            <w:pPr>
              <w:pStyle w:val="ListParagraph"/>
              <w:numPr>
                <w:ilvl w:val="0"/>
                <w:numId w:val="8"/>
              </w:numPr>
              <w:tabs>
                <w:tab w:val="left" w:pos="634"/>
              </w:tabs>
              <w:spacing w:after="0" w:line="100" w:lineRule="atLeast"/>
              <w:jc w:val="both"/>
              <w:rPr>
                <w:szCs w:val="22"/>
              </w:rPr>
            </w:pPr>
            <w:r w:rsidRPr="00423A50">
              <w:rPr>
                <w:sz w:val="22"/>
                <w:szCs w:val="22"/>
              </w:rPr>
              <w:t xml:space="preserve">People with pacemakers, metal implants, cochlear implants and </w:t>
            </w:r>
            <w:proofErr w:type="spellStart"/>
            <w:r w:rsidRPr="00423A50">
              <w:rPr>
                <w:sz w:val="22"/>
                <w:szCs w:val="22"/>
              </w:rPr>
              <w:t>neurostimulators</w:t>
            </w:r>
            <w:proofErr w:type="spellEnd"/>
            <w:r w:rsidRPr="00423A50">
              <w:rPr>
                <w:sz w:val="22"/>
                <w:szCs w:val="22"/>
              </w:rPr>
              <w:t xml:space="preserve"> are not permitted within magnet room.</w:t>
            </w:r>
          </w:p>
          <w:p w:rsidR="00423A50" w:rsidRPr="00423A50" w:rsidRDefault="00230E1C" w:rsidP="00423A50">
            <w:pPr>
              <w:pStyle w:val="ListParagraph"/>
              <w:numPr>
                <w:ilvl w:val="0"/>
                <w:numId w:val="8"/>
              </w:numPr>
              <w:tabs>
                <w:tab w:val="left" w:pos="634"/>
              </w:tabs>
              <w:spacing w:after="0" w:line="100" w:lineRule="atLeast"/>
              <w:jc w:val="both"/>
              <w:rPr>
                <w:szCs w:val="22"/>
              </w:rPr>
            </w:pPr>
            <w:r w:rsidRPr="00423A50">
              <w:rPr>
                <w:sz w:val="22"/>
                <w:szCs w:val="22"/>
              </w:rPr>
              <w:t xml:space="preserve">People are asked to remove all ferromagnetic items from clothing (pockets </w:t>
            </w:r>
            <w:proofErr w:type="spellStart"/>
            <w:r w:rsidRPr="00423A50">
              <w:rPr>
                <w:sz w:val="22"/>
                <w:szCs w:val="22"/>
              </w:rPr>
              <w:t>etc</w:t>
            </w:r>
            <w:proofErr w:type="spellEnd"/>
            <w:r w:rsidRPr="00423A50">
              <w:rPr>
                <w:sz w:val="22"/>
                <w:szCs w:val="22"/>
              </w:rPr>
              <w:t xml:space="preserve">) and person (i.e. jewellery, bank cards, mobile phones) before approaching magnet. </w:t>
            </w:r>
          </w:p>
          <w:p w:rsidR="00ED0BB6" w:rsidRPr="00423A50" w:rsidRDefault="00230E1C" w:rsidP="00423A50">
            <w:pPr>
              <w:pStyle w:val="ListParagraph"/>
              <w:numPr>
                <w:ilvl w:val="0"/>
                <w:numId w:val="8"/>
              </w:numPr>
              <w:tabs>
                <w:tab w:val="left" w:pos="634"/>
              </w:tabs>
              <w:spacing w:after="0" w:line="100" w:lineRule="atLeast"/>
              <w:jc w:val="both"/>
              <w:rPr>
                <w:szCs w:val="22"/>
              </w:rPr>
            </w:pPr>
            <w:r w:rsidRPr="00423A50">
              <w:rPr>
                <w:sz w:val="22"/>
                <w:szCs w:val="22"/>
              </w:rPr>
              <w:lastRenderedPageBreak/>
              <w:t>Warning signs on all entrances to magn</w:t>
            </w:r>
            <w:r w:rsidR="00423A50" w:rsidRPr="00423A50">
              <w:rPr>
                <w:sz w:val="22"/>
                <w:szCs w:val="22"/>
              </w:rPr>
              <w:t>et room. Barriers at the 5 Gau</w:t>
            </w:r>
            <w:r w:rsidRPr="00423A50">
              <w:rPr>
                <w:sz w:val="22"/>
                <w:szCs w:val="22"/>
              </w:rPr>
              <w:t>ss limit of magnetic fields of magnets.</w:t>
            </w:r>
          </w:p>
        </w:tc>
        <w:tc>
          <w:tcPr>
            <w:tcW w:w="86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lastRenderedPageBreak/>
              <w:t>Low</w:t>
            </w:r>
          </w:p>
        </w:tc>
        <w:tc>
          <w:tcPr>
            <w:tcW w:w="91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A</w:t>
            </w:r>
          </w:p>
        </w:tc>
      </w:tr>
      <w:tr w:rsidR="00ED0BB6" w:rsidRPr="00230E1C" w:rsidTr="00230E1C">
        <w:trPr>
          <w:jc w:val="center"/>
        </w:trPr>
        <w:tc>
          <w:tcPr>
            <w:tcW w:w="1893"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ED0BB6" w:rsidP="00423A50">
            <w:pPr>
              <w:spacing w:after="0" w:line="100" w:lineRule="atLeast"/>
              <w:jc w:val="both"/>
              <w:rPr>
                <w:szCs w:val="22"/>
              </w:rPr>
            </w:pPr>
          </w:p>
          <w:p w:rsidR="00ED0BB6" w:rsidRPr="00230E1C" w:rsidRDefault="00ED0BB6" w:rsidP="00423A50">
            <w:pPr>
              <w:spacing w:after="0" w:line="100" w:lineRule="atLeast"/>
              <w:jc w:val="both"/>
              <w:rPr>
                <w:szCs w:val="22"/>
              </w:rPr>
            </w:pPr>
          </w:p>
        </w:tc>
        <w:tc>
          <w:tcPr>
            <w:tcW w:w="168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Danger of asphyxiation</w:t>
            </w:r>
          </w:p>
        </w:tc>
        <w:tc>
          <w:tcPr>
            <w:tcW w:w="2441"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People in magnet room. Accidental release of large volume of oxygen-free gas (N</w:t>
            </w:r>
            <w:r w:rsidRPr="00230E1C">
              <w:rPr>
                <w:sz w:val="22"/>
                <w:szCs w:val="22"/>
                <w:vertAlign w:val="subscript"/>
              </w:rPr>
              <w:t>2</w:t>
            </w:r>
            <w:r w:rsidRPr="00230E1C">
              <w:rPr>
                <w:sz w:val="22"/>
                <w:szCs w:val="22"/>
              </w:rPr>
              <w:t xml:space="preserve"> + He), due to “quench” of magnet.</w:t>
            </w:r>
          </w:p>
        </w:tc>
        <w:tc>
          <w:tcPr>
            <w:tcW w:w="6215" w:type="dxa"/>
            <w:tcBorders>
              <w:top w:val="single" w:sz="4" w:space="0" w:color="000001"/>
              <w:left w:val="single" w:sz="4" w:space="0" w:color="000001"/>
              <w:bottom w:val="single" w:sz="4" w:space="0" w:color="000001"/>
              <w:right w:val="nil"/>
            </w:tcBorders>
            <w:shd w:val="clear" w:color="auto" w:fill="FFFFFF"/>
            <w:tcMar>
              <w:left w:w="0" w:type="dxa"/>
            </w:tcMar>
          </w:tcPr>
          <w:p w:rsidR="00423A50" w:rsidRPr="00423A50" w:rsidRDefault="00230E1C" w:rsidP="00423A50">
            <w:pPr>
              <w:pStyle w:val="ListParagraph"/>
              <w:numPr>
                <w:ilvl w:val="0"/>
                <w:numId w:val="9"/>
              </w:numPr>
              <w:tabs>
                <w:tab w:val="left" w:pos="634"/>
              </w:tabs>
              <w:spacing w:after="0" w:line="100" w:lineRule="atLeast"/>
              <w:jc w:val="both"/>
              <w:rPr>
                <w:szCs w:val="22"/>
              </w:rPr>
            </w:pPr>
            <w:r w:rsidRPr="00423A50">
              <w:rPr>
                <w:sz w:val="22"/>
                <w:szCs w:val="22"/>
              </w:rPr>
              <w:t xml:space="preserve">Oxygen monitors (high-level and low-level alarm system installed and tested annually); </w:t>
            </w:r>
          </w:p>
          <w:p w:rsidR="00423A50" w:rsidRPr="00423A50" w:rsidRDefault="00230E1C" w:rsidP="00423A50">
            <w:pPr>
              <w:pStyle w:val="ListParagraph"/>
              <w:numPr>
                <w:ilvl w:val="0"/>
                <w:numId w:val="9"/>
              </w:numPr>
              <w:tabs>
                <w:tab w:val="left" w:pos="634"/>
              </w:tabs>
              <w:spacing w:after="0" w:line="100" w:lineRule="atLeast"/>
              <w:jc w:val="both"/>
              <w:rPr>
                <w:szCs w:val="22"/>
              </w:rPr>
            </w:pPr>
            <w:r w:rsidRPr="00423A50">
              <w:rPr>
                <w:sz w:val="22"/>
                <w:szCs w:val="22"/>
              </w:rPr>
              <w:t>Training of all NMR users to evacuate ma</w:t>
            </w:r>
            <w:r w:rsidR="00423A50">
              <w:rPr>
                <w:sz w:val="22"/>
                <w:szCs w:val="22"/>
              </w:rPr>
              <w:t>gnet room in the event of alarm.</w:t>
            </w:r>
          </w:p>
          <w:p w:rsidR="00423A50" w:rsidRPr="00423A50" w:rsidRDefault="00230E1C" w:rsidP="00423A50">
            <w:pPr>
              <w:pStyle w:val="ListParagraph"/>
              <w:numPr>
                <w:ilvl w:val="0"/>
                <w:numId w:val="9"/>
              </w:numPr>
              <w:tabs>
                <w:tab w:val="left" w:pos="634"/>
              </w:tabs>
              <w:spacing w:after="0" w:line="100" w:lineRule="atLeast"/>
              <w:jc w:val="both"/>
              <w:rPr>
                <w:szCs w:val="22"/>
              </w:rPr>
            </w:pPr>
            <w:r w:rsidRPr="00423A50">
              <w:rPr>
                <w:sz w:val="22"/>
                <w:szCs w:val="22"/>
              </w:rPr>
              <w:t xml:space="preserve">Strict procedures for regular refilling magnets with cryogens, maintaining integrity of all rubber seals, to prevent excessive boil-off. </w:t>
            </w:r>
          </w:p>
          <w:p w:rsidR="00423A50" w:rsidRPr="00423A50" w:rsidRDefault="00230E1C" w:rsidP="00423A50">
            <w:pPr>
              <w:pStyle w:val="ListParagraph"/>
              <w:numPr>
                <w:ilvl w:val="0"/>
                <w:numId w:val="9"/>
              </w:numPr>
              <w:tabs>
                <w:tab w:val="left" w:pos="634"/>
              </w:tabs>
              <w:spacing w:after="0" w:line="100" w:lineRule="atLeast"/>
              <w:jc w:val="both"/>
              <w:rPr>
                <w:szCs w:val="22"/>
              </w:rPr>
            </w:pPr>
            <w:r w:rsidRPr="00423A50">
              <w:rPr>
                <w:sz w:val="22"/>
                <w:szCs w:val="22"/>
              </w:rPr>
              <w:t>Minimal perturbation of magnet fields, to reduce possibility of quench.</w:t>
            </w:r>
          </w:p>
          <w:p w:rsidR="00423A50" w:rsidRPr="00423A50" w:rsidRDefault="00230E1C" w:rsidP="00423A50">
            <w:pPr>
              <w:pStyle w:val="ListParagraph"/>
              <w:numPr>
                <w:ilvl w:val="0"/>
                <w:numId w:val="9"/>
              </w:numPr>
              <w:tabs>
                <w:tab w:val="left" w:pos="634"/>
              </w:tabs>
              <w:spacing w:after="0" w:line="100" w:lineRule="atLeast"/>
              <w:jc w:val="both"/>
              <w:rPr>
                <w:szCs w:val="22"/>
              </w:rPr>
            </w:pPr>
            <w:r w:rsidRPr="00423A50">
              <w:rPr>
                <w:sz w:val="22"/>
                <w:szCs w:val="22"/>
              </w:rPr>
              <w:t xml:space="preserve">Weekly log of liquid helium and nitrogen levels taken by facility manager. </w:t>
            </w:r>
          </w:p>
          <w:p w:rsidR="00ED0BB6" w:rsidRPr="00423A50" w:rsidRDefault="00230E1C" w:rsidP="00423A50">
            <w:pPr>
              <w:pStyle w:val="ListParagraph"/>
              <w:numPr>
                <w:ilvl w:val="0"/>
                <w:numId w:val="9"/>
              </w:numPr>
              <w:tabs>
                <w:tab w:val="left" w:pos="634"/>
              </w:tabs>
              <w:spacing w:after="0" w:line="100" w:lineRule="atLeast"/>
              <w:jc w:val="both"/>
              <w:rPr>
                <w:szCs w:val="22"/>
              </w:rPr>
            </w:pPr>
            <w:r w:rsidRPr="00423A50">
              <w:rPr>
                <w:sz w:val="22"/>
                <w:szCs w:val="22"/>
              </w:rPr>
              <w:t xml:space="preserve">Alarm system in place for 800 MHz spectrometer which should give 24 </w:t>
            </w:r>
            <w:proofErr w:type="spellStart"/>
            <w:r w:rsidRPr="00423A50">
              <w:rPr>
                <w:sz w:val="22"/>
                <w:szCs w:val="22"/>
              </w:rPr>
              <w:t>hours notice</w:t>
            </w:r>
            <w:proofErr w:type="spellEnd"/>
            <w:r w:rsidRPr="00423A50">
              <w:rPr>
                <w:sz w:val="22"/>
                <w:szCs w:val="22"/>
              </w:rPr>
              <w:t xml:space="preserve"> before any serious event involving helium system.</w:t>
            </w:r>
          </w:p>
        </w:tc>
        <w:tc>
          <w:tcPr>
            <w:tcW w:w="86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L</w:t>
            </w:r>
          </w:p>
        </w:tc>
        <w:tc>
          <w:tcPr>
            <w:tcW w:w="91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A</w:t>
            </w:r>
          </w:p>
        </w:tc>
      </w:tr>
      <w:tr w:rsidR="00ED0BB6" w:rsidRPr="00230E1C" w:rsidTr="00230E1C">
        <w:trPr>
          <w:jc w:val="center"/>
        </w:trPr>
        <w:tc>
          <w:tcPr>
            <w:tcW w:w="1893"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ED0BB6" w:rsidP="00423A50">
            <w:pPr>
              <w:spacing w:after="0" w:line="100" w:lineRule="atLeast"/>
              <w:jc w:val="both"/>
              <w:rPr>
                <w:szCs w:val="22"/>
              </w:rPr>
            </w:pPr>
          </w:p>
        </w:tc>
        <w:tc>
          <w:tcPr>
            <w:tcW w:w="168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Broken NMR tubes</w:t>
            </w:r>
          </w:p>
        </w:tc>
        <w:tc>
          <w:tcPr>
            <w:tcW w:w="2441"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NMR users: cuts to fingers and contamination with sample.</w:t>
            </w:r>
          </w:p>
        </w:tc>
        <w:tc>
          <w:tcPr>
            <w:tcW w:w="6215" w:type="dxa"/>
            <w:tcBorders>
              <w:top w:val="single" w:sz="4" w:space="0" w:color="000001"/>
              <w:left w:val="single" w:sz="4" w:space="0" w:color="000001"/>
              <w:bottom w:val="single" w:sz="4" w:space="0" w:color="000001"/>
              <w:right w:val="nil"/>
            </w:tcBorders>
            <w:shd w:val="clear" w:color="auto" w:fill="FFFFFF"/>
            <w:tcMar>
              <w:left w:w="0" w:type="dxa"/>
            </w:tcMar>
          </w:tcPr>
          <w:p w:rsidR="00423A50" w:rsidRPr="00423A50" w:rsidRDefault="00230E1C" w:rsidP="00423A50">
            <w:pPr>
              <w:pStyle w:val="ListParagraph"/>
              <w:numPr>
                <w:ilvl w:val="0"/>
                <w:numId w:val="10"/>
              </w:numPr>
              <w:tabs>
                <w:tab w:val="left" w:pos="776"/>
              </w:tabs>
              <w:spacing w:after="0" w:line="100" w:lineRule="atLeast"/>
              <w:jc w:val="both"/>
              <w:rPr>
                <w:szCs w:val="22"/>
              </w:rPr>
            </w:pPr>
            <w:r w:rsidRPr="00423A50">
              <w:rPr>
                <w:sz w:val="22"/>
                <w:szCs w:val="22"/>
              </w:rPr>
              <w:t>Handle carefully and wear gloves (to EN 374 standard)</w:t>
            </w:r>
          </w:p>
          <w:p w:rsidR="00423A50" w:rsidRPr="00423A50" w:rsidRDefault="00230E1C" w:rsidP="00423A50">
            <w:pPr>
              <w:pStyle w:val="ListParagraph"/>
              <w:numPr>
                <w:ilvl w:val="0"/>
                <w:numId w:val="10"/>
              </w:numPr>
              <w:tabs>
                <w:tab w:val="left" w:pos="776"/>
              </w:tabs>
              <w:spacing w:after="0" w:line="100" w:lineRule="atLeast"/>
              <w:jc w:val="both"/>
              <w:rPr>
                <w:szCs w:val="22"/>
              </w:rPr>
            </w:pPr>
            <w:r w:rsidRPr="00423A50">
              <w:rPr>
                <w:sz w:val="22"/>
                <w:szCs w:val="22"/>
              </w:rPr>
              <w:t xml:space="preserve">Avoid excessive force </w:t>
            </w:r>
          </w:p>
          <w:p w:rsidR="00ED0BB6" w:rsidRPr="00423A50" w:rsidRDefault="00230E1C" w:rsidP="00423A50">
            <w:pPr>
              <w:pStyle w:val="ListParagraph"/>
              <w:numPr>
                <w:ilvl w:val="0"/>
                <w:numId w:val="10"/>
              </w:numPr>
              <w:tabs>
                <w:tab w:val="left" w:pos="776"/>
              </w:tabs>
              <w:spacing w:after="0" w:line="100" w:lineRule="atLeast"/>
              <w:jc w:val="both"/>
              <w:rPr>
                <w:szCs w:val="22"/>
              </w:rPr>
            </w:pPr>
            <w:r w:rsidRPr="00423A50">
              <w:rPr>
                <w:sz w:val="22"/>
                <w:szCs w:val="22"/>
              </w:rPr>
              <w:t xml:space="preserve">Do not use chipped NMR tubes – dispose of broken glass in glass waste </w:t>
            </w:r>
            <w:proofErr w:type="gramStart"/>
            <w:r w:rsidRPr="00423A50">
              <w:rPr>
                <w:sz w:val="22"/>
                <w:szCs w:val="22"/>
              </w:rPr>
              <w:t>bin.</w:t>
            </w:r>
            <w:proofErr w:type="gramEnd"/>
          </w:p>
        </w:tc>
        <w:tc>
          <w:tcPr>
            <w:tcW w:w="86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L</w:t>
            </w:r>
          </w:p>
        </w:tc>
        <w:tc>
          <w:tcPr>
            <w:tcW w:w="91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T</w:t>
            </w:r>
          </w:p>
        </w:tc>
      </w:tr>
      <w:tr w:rsidR="00ED0BB6" w:rsidRPr="00230E1C" w:rsidTr="00230E1C">
        <w:trPr>
          <w:jc w:val="center"/>
        </w:trPr>
        <w:tc>
          <w:tcPr>
            <w:tcW w:w="1893"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ED0BB6" w:rsidP="00423A50">
            <w:pPr>
              <w:spacing w:after="0" w:line="100" w:lineRule="atLeast"/>
              <w:jc w:val="both"/>
              <w:rPr>
                <w:szCs w:val="22"/>
              </w:rPr>
            </w:pPr>
          </w:p>
        </w:tc>
        <w:tc>
          <w:tcPr>
            <w:tcW w:w="168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Work at height</w:t>
            </w:r>
          </w:p>
        </w:tc>
        <w:tc>
          <w:tcPr>
            <w:tcW w:w="2441"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ED0BB6" w:rsidP="00423A50">
            <w:pPr>
              <w:spacing w:after="0" w:line="100" w:lineRule="atLeast"/>
              <w:jc w:val="both"/>
              <w:rPr>
                <w:szCs w:val="22"/>
              </w:rPr>
            </w:pPr>
          </w:p>
        </w:tc>
        <w:tc>
          <w:tcPr>
            <w:tcW w:w="6215" w:type="dxa"/>
            <w:tcBorders>
              <w:top w:val="single" w:sz="4" w:space="0" w:color="000001"/>
              <w:left w:val="single" w:sz="4" w:space="0" w:color="000001"/>
              <w:bottom w:val="single" w:sz="4" w:space="0" w:color="000001"/>
              <w:right w:val="nil"/>
            </w:tcBorders>
            <w:shd w:val="clear" w:color="auto" w:fill="FFFFFF"/>
            <w:tcMar>
              <w:left w:w="0" w:type="dxa"/>
            </w:tcMar>
          </w:tcPr>
          <w:p w:rsidR="00423A50" w:rsidRPr="00423A50" w:rsidRDefault="00230E1C" w:rsidP="00423A50">
            <w:pPr>
              <w:pStyle w:val="ListParagraph"/>
              <w:numPr>
                <w:ilvl w:val="0"/>
                <w:numId w:val="11"/>
              </w:numPr>
              <w:tabs>
                <w:tab w:val="left" w:pos="776"/>
              </w:tabs>
              <w:spacing w:after="0" w:line="100" w:lineRule="atLeast"/>
              <w:jc w:val="both"/>
              <w:rPr>
                <w:szCs w:val="22"/>
              </w:rPr>
            </w:pPr>
            <w:r w:rsidRPr="00423A50">
              <w:rPr>
                <w:sz w:val="22"/>
                <w:szCs w:val="22"/>
              </w:rPr>
              <w:t>Stepladders to BS EN 131 standard</w:t>
            </w:r>
          </w:p>
          <w:p w:rsidR="00ED0BB6" w:rsidRPr="00423A50" w:rsidRDefault="00423A50" w:rsidP="00423A50">
            <w:pPr>
              <w:pStyle w:val="ListParagraph"/>
              <w:numPr>
                <w:ilvl w:val="0"/>
                <w:numId w:val="11"/>
              </w:numPr>
              <w:tabs>
                <w:tab w:val="left" w:pos="776"/>
              </w:tabs>
              <w:spacing w:after="0" w:line="100" w:lineRule="atLeast"/>
              <w:jc w:val="both"/>
              <w:rPr>
                <w:szCs w:val="22"/>
              </w:rPr>
            </w:pPr>
            <w:r w:rsidRPr="00423A50">
              <w:rPr>
                <w:sz w:val="22"/>
                <w:szCs w:val="22"/>
              </w:rPr>
              <w:t xml:space="preserve">All users must receive stepladder/work at height </w:t>
            </w:r>
            <w:r w:rsidR="00230E1C" w:rsidRPr="00423A50">
              <w:rPr>
                <w:sz w:val="22"/>
                <w:szCs w:val="22"/>
              </w:rPr>
              <w:t>training</w:t>
            </w:r>
          </w:p>
        </w:tc>
        <w:tc>
          <w:tcPr>
            <w:tcW w:w="86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ED0BB6" w:rsidP="00423A50">
            <w:pPr>
              <w:spacing w:after="0" w:line="100" w:lineRule="atLeast"/>
              <w:jc w:val="both"/>
              <w:rPr>
                <w:szCs w:val="22"/>
              </w:rPr>
            </w:pPr>
          </w:p>
        </w:tc>
        <w:tc>
          <w:tcPr>
            <w:tcW w:w="91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D0BB6" w:rsidRPr="00230E1C" w:rsidRDefault="00ED0BB6" w:rsidP="00423A50">
            <w:pPr>
              <w:spacing w:after="0" w:line="100" w:lineRule="atLeast"/>
              <w:jc w:val="both"/>
              <w:rPr>
                <w:szCs w:val="22"/>
              </w:rPr>
            </w:pPr>
          </w:p>
        </w:tc>
      </w:tr>
      <w:tr w:rsidR="00ED0BB6" w:rsidRPr="00230E1C" w:rsidTr="00230E1C">
        <w:trPr>
          <w:jc w:val="center"/>
        </w:trPr>
        <w:tc>
          <w:tcPr>
            <w:tcW w:w="1893"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 xml:space="preserve">Filling magnets with liquid nitrogen </w:t>
            </w:r>
          </w:p>
          <w:p w:rsidR="00ED0BB6" w:rsidRPr="00230E1C" w:rsidRDefault="00ED0BB6" w:rsidP="00423A50">
            <w:pPr>
              <w:spacing w:after="0" w:line="100" w:lineRule="atLeast"/>
              <w:jc w:val="both"/>
              <w:rPr>
                <w:szCs w:val="22"/>
              </w:rPr>
            </w:pPr>
          </w:p>
        </w:tc>
        <w:tc>
          <w:tcPr>
            <w:tcW w:w="168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Magnetic field</w:t>
            </w:r>
          </w:p>
        </w:tc>
        <w:tc>
          <w:tcPr>
            <w:tcW w:w="2441"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People filling magnet. Same mechanisms of risk as above, but increased by close proximity to magnets, plus use of tools.</w:t>
            </w:r>
          </w:p>
        </w:tc>
        <w:tc>
          <w:tcPr>
            <w:tcW w:w="6215" w:type="dxa"/>
            <w:tcBorders>
              <w:top w:val="single" w:sz="4" w:space="0" w:color="000001"/>
              <w:left w:val="single" w:sz="4" w:space="0" w:color="000001"/>
              <w:bottom w:val="single" w:sz="4" w:space="0" w:color="000001"/>
              <w:right w:val="nil"/>
            </w:tcBorders>
            <w:shd w:val="clear" w:color="auto" w:fill="FFFFFF"/>
            <w:tcMar>
              <w:left w:w="0" w:type="dxa"/>
            </w:tcMar>
          </w:tcPr>
          <w:p w:rsidR="00423A50" w:rsidRPr="00423A50" w:rsidRDefault="00230E1C" w:rsidP="00423A50">
            <w:pPr>
              <w:pStyle w:val="ListParagraph"/>
              <w:numPr>
                <w:ilvl w:val="0"/>
                <w:numId w:val="12"/>
              </w:numPr>
              <w:tabs>
                <w:tab w:val="left" w:pos="634"/>
              </w:tabs>
              <w:spacing w:after="0" w:line="100" w:lineRule="atLeast"/>
              <w:jc w:val="both"/>
              <w:rPr>
                <w:szCs w:val="22"/>
              </w:rPr>
            </w:pPr>
            <w:r w:rsidRPr="00423A50">
              <w:rPr>
                <w:sz w:val="22"/>
                <w:szCs w:val="22"/>
              </w:rPr>
              <w:t xml:space="preserve">Only those trained in magnet filling to be involved. </w:t>
            </w:r>
          </w:p>
          <w:p w:rsidR="00ED0BB6" w:rsidRPr="00423A50" w:rsidRDefault="00230E1C" w:rsidP="00423A50">
            <w:pPr>
              <w:pStyle w:val="ListParagraph"/>
              <w:numPr>
                <w:ilvl w:val="0"/>
                <w:numId w:val="12"/>
              </w:numPr>
              <w:tabs>
                <w:tab w:val="left" w:pos="634"/>
              </w:tabs>
              <w:spacing w:after="0" w:line="100" w:lineRule="atLeast"/>
              <w:jc w:val="both"/>
              <w:rPr>
                <w:szCs w:val="22"/>
              </w:rPr>
            </w:pPr>
            <w:r w:rsidRPr="00423A50">
              <w:rPr>
                <w:sz w:val="22"/>
                <w:szCs w:val="22"/>
              </w:rPr>
              <w:t>2 persons to perform filling, one to contact emergency services in case of serious injury.</w:t>
            </w:r>
          </w:p>
        </w:tc>
        <w:tc>
          <w:tcPr>
            <w:tcW w:w="86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L</w:t>
            </w:r>
          </w:p>
        </w:tc>
        <w:tc>
          <w:tcPr>
            <w:tcW w:w="91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A</w:t>
            </w:r>
          </w:p>
        </w:tc>
      </w:tr>
      <w:tr w:rsidR="00ED0BB6" w:rsidRPr="00230E1C" w:rsidTr="00230E1C">
        <w:trPr>
          <w:jc w:val="center"/>
        </w:trPr>
        <w:tc>
          <w:tcPr>
            <w:tcW w:w="1893"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ED0BB6" w:rsidP="00423A50">
            <w:pPr>
              <w:spacing w:after="0" w:line="100" w:lineRule="atLeast"/>
              <w:jc w:val="both"/>
              <w:rPr>
                <w:szCs w:val="22"/>
              </w:rPr>
            </w:pPr>
          </w:p>
          <w:p w:rsidR="00ED0BB6" w:rsidRPr="00230E1C" w:rsidRDefault="00ED0BB6" w:rsidP="00423A50">
            <w:pPr>
              <w:spacing w:after="0" w:line="100" w:lineRule="atLeast"/>
              <w:jc w:val="both"/>
              <w:rPr>
                <w:szCs w:val="22"/>
              </w:rPr>
            </w:pPr>
          </w:p>
        </w:tc>
        <w:tc>
          <w:tcPr>
            <w:tcW w:w="168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Danger of asphyxiation</w:t>
            </w:r>
          </w:p>
        </w:tc>
        <w:tc>
          <w:tcPr>
            <w:tcW w:w="2441"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 xml:space="preserve">People filling </w:t>
            </w:r>
            <w:proofErr w:type="gramStart"/>
            <w:r w:rsidRPr="00230E1C">
              <w:rPr>
                <w:sz w:val="22"/>
                <w:szCs w:val="22"/>
              </w:rPr>
              <w:t>magnet,</w:t>
            </w:r>
            <w:proofErr w:type="gramEnd"/>
            <w:r w:rsidRPr="00230E1C">
              <w:rPr>
                <w:sz w:val="22"/>
                <w:szCs w:val="22"/>
              </w:rPr>
              <w:t xml:space="preserve"> and others in the magnet room during fill. Risk of quench slightly higher during filling. </w:t>
            </w:r>
            <w:r w:rsidRPr="00230E1C">
              <w:rPr>
                <w:sz w:val="22"/>
                <w:szCs w:val="22"/>
              </w:rPr>
              <w:lastRenderedPageBreak/>
              <w:t xml:space="preserve">Transport </w:t>
            </w:r>
            <w:proofErr w:type="spellStart"/>
            <w:r w:rsidRPr="00230E1C">
              <w:rPr>
                <w:sz w:val="22"/>
                <w:szCs w:val="22"/>
              </w:rPr>
              <w:t>dewar</w:t>
            </w:r>
            <w:proofErr w:type="spellEnd"/>
            <w:r w:rsidRPr="00230E1C">
              <w:rPr>
                <w:sz w:val="22"/>
                <w:szCs w:val="22"/>
              </w:rPr>
              <w:t xml:space="preserve"> failure may also result in large release of gas</w:t>
            </w:r>
          </w:p>
        </w:tc>
        <w:tc>
          <w:tcPr>
            <w:tcW w:w="6215" w:type="dxa"/>
            <w:tcBorders>
              <w:top w:val="single" w:sz="4" w:space="0" w:color="000001"/>
              <w:left w:val="single" w:sz="4" w:space="0" w:color="000001"/>
              <w:bottom w:val="single" w:sz="4" w:space="0" w:color="000001"/>
              <w:right w:val="nil"/>
            </w:tcBorders>
            <w:shd w:val="clear" w:color="auto" w:fill="FFFFFF"/>
            <w:tcMar>
              <w:left w:w="0" w:type="dxa"/>
            </w:tcMar>
          </w:tcPr>
          <w:p w:rsidR="00423A50" w:rsidRPr="00423A50" w:rsidRDefault="00230E1C" w:rsidP="00423A50">
            <w:pPr>
              <w:pStyle w:val="ListParagraph"/>
              <w:numPr>
                <w:ilvl w:val="0"/>
                <w:numId w:val="13"/>
              </w:numPr>
              <w:tabs>
                <w:tab w:val="left" w:pos="776"/>
              </w:tabs>
              <w:spacing w:after="0" w:line="100" w:lineRule="atLeast"/>
              <w:jc w:val="both"/>
              <w:rPr>
                <w:szCs w:val="22"/>
              </w:rPr>
            </w:pPr>
            <w:r w:rsidRPr="00423A50">
              <w:rPr>
                <w:sz w:val="22"/>
                <w:szCs w:val="22"/>
              </w:rPr>
              <w:lastRenderedPageBreak/>
              <w:t>Control measures as detailed above</w:t>
            </w:r>
          </w:p>
          <w:p w:rsidR="00423A50" w:rsidRPr="00423A50" w:rsidRDefault="00230E1C" w:rsidP="00423A50">
            <w:pPr>
              <w:pStyle w:val="ListParagraph"/>
              <w:numPr>
                <w:ilvl w:val="0"/>
                <w:numId w:val="13"/>
              </w:numPr>
              <w:tabs>
                <w:tab w:val="left" w:pos="776"/>
              </w:tabs>
              <w:spacing w:after="0" w:line="100" w:lineRule="atLeast"/>
              <w:jc w:val="both"/>
              <w:rPr>
                <w:szCs w:val="22"/>
              </w:rPr>
            </w:pPr>
            <w:r w:rsidRPr="00423A50">
              <w:rPr>
                <w:sz w:val="22"/>
                <w:szCs w:val="22"/>
              </w:rPr>
              <w:t xml:space="preserve">Liquid nitrogen filling/safety is included as part of the safety training for access/use of the NMR facility; all users will be trained in the safe filling of the machines </w:t>
            </w:r>
            <w:r w:rsidRPr="00423A50">
              <w:rPr>
                <w:sz w:val="22"/>
                <w:szCs w:val="22"/>
              </w:rPr>
              <w:lastRenderedPageBreak/>
              <w:t>with liquid nitrogen (according to the safe operating document – see NMR facility safety file); any personnel conducting a liquid nitrogen fill must have also attended stepladder training and gas safety training (which includes cryogen training).</w:t>
            </w:r>
          </w:p>
          <w:p w:rsidR="00423A50" w:rsidRPr="00423A50" w:rsidRDefault="00230E1C" w:rsidP="00423A50">
            <w:pPr>
              <w:pStyle w:val="ListParagraph"/>
              <w:numPr>
                <w:ilvl w:val="0"/>
                <w:numId w:val="13"/>
              </w:numPr>
              <w:tabs>
                <w:tab w:val="left" w:pos="776"/>
              </w:tabs>
              <w:spacing w:after="0" w:line="100" w:lineRule="atLeast"/>
              <w:jc w:val="both"/>
              <w:rPr>
                <w:szCs w:val="22"/>
              </w:rPr>
            </w:pPr>
            <w:r w:rsidRPr="00423A50">
              <w:rPr>
                <w:sz w:val="22"/>
                <w:szCs w:val="22"/>
              </w:rPr>
              <w:t xml:space="preserve">2 persons to perform filling, one to contact emergency services in case of serious injury. </w:t>
            </w:r>
          </w:p>
          <w:p w:rsidR="00423A50" w:rsidRPr="00423A50" w:rsidRDefault="00230E1C" w:rsidP="00423A50">
            <w:pPr>
              <w:pStyle w:val="ListParagraph"/>
              <w:numPr>
                <w:ilvl w:val="0"/>
                <w:numId w:val="13"/>
              </w:numPr>
              <w:tabs>
                <w:tab w:val="left" w:pos="776"/>
              </w:tabs>
              <w:spacing w:after="0" w:line="100" w:lineRule="atLeast"/>
              <w:jc w:val="both"/>
              <w:rPr>
                <w:szCs w:val="22"/>
              </w:rPr>
            </w:pPr>
            <w:r w:rsidRPr="00423A50">
              <w:rPr>
                <w:sz w:val="22"/>
                <w:szCs w:val="22"/>
              </w:rPr>
              <w:t xml:space="preserve">Open door to magnet room during filling procedure, to increase ventilation. </w:t>
            </w:r>
          </w:p>
          <w:p w:rsidR="00ED0BB6" w:rsidRPr="00423A50" w:rsidRDefault="00230E1C" w:rsidP="00423A50">
            <w:pPr>
              <w:pStyle w:val="ListParagraph"/>
              <w:numPr>
                <w:ilvl w:val="0"/>
                <w:numId w:val="13"/>
              </w:numPr>
              <w:tabs>
                <w:tab w:val="left" w:pos="776"/>
              </w:tabs>
              <w:spacing w:after="0" w:line="100" w:lineRule="atLeast"/>
              <w:jc w:val="both"/>
              <w:rPr>
                <w:szCs w:val="22"/>
              </w:rPr>
            </w:pPr>
            <w:r w:rsidRPr="00423A50">
              <w:rPr>
                <w:sz w:val="22"/>
                <w:szCs w:val="22"/>
              </w:rPr>
              <w:t>Carry personal O</w:t>
            </w:r>
            <w:r w:rsidRPr="00423A50">
              <w:rPr>
                <w:sz w:val="22"/>
                <w:szCs w:val="22"/>
                <w:vertAlign w:val="subscript"/>
              </w:rPr>
              <w:t>2</w:t>
            </w:r>
            <w:r w:rsidRPr="00423A50">
              <w:rPr>
                <w:sz w:val="22"/>
                <w:szCs w:val="22"/>
              </w:rPr>
              <w:t xml:space="preserve"> monitor during fill.</w:t>
            </w:r>
          </w:p>
        </w:tc>
        <w:tc>
          <w:tcPr>
            <w:tcW w:w="86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lastRenderedPageBreak/>
              <w:t>L</w:t>
            </w:r>
          </w:p>
        </w:tc>
        <w:tc>
          <w:tcPr>
            <w:tcW w:w="91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A</w:t>
            </w:r>
          </w:p>
        </w:tc>
      </w:tr>
      <w:tr w:rsidR="00ED0BB6" w:rsidRPr="00230E1C" w:rsidTr="00230E1C">
        <w:trPr>
          <w:jc w:val="center"/>
        </w:trPr>
        <w:tc>
          <w:tcPr>
            <w:tcW w:w="1893"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ED0BB6" w:rsidP="00423A50">
            <w:pPr>
              <w:spacing w:after="0" w:line="100" w:lineRule="atLeast"/>
              <w:jc w:val="both"/>
              <w:rPr>
                <w:szCs w:val="22"/>
              </w:rPr>
            </w:pPr>
          </w:p>
          <w:p w:rsidR="00ED0BB6" w:rsidRPr="00230E1C" w:rsidRDefault="00ED0BB6" w:rsidP="00423A50">
            <w:pPr>
              <w:spacing w:after="0" w:line="100" w:lineRule="atLeast"/>
              <w:jc w:val="both"/>
              <w:rPr>
                <w:szCs w:val="22"/>
              </w:rPr>
            </w:pPr>
          </w:p>
        </w:tc>
        <w:tc>
          <w:tcPr>
            <w:tcW w:w="168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Extreme cold</w:t>
            </w:r>
          </w:p>
        </w:tc>
        <w:tc>
          <w:tcPr>
            <w:tcW w:w="2441"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People filling magnet. Cold burns to skin on contact with liquid cryogen or metal components in contact with liquid cryogens</w:t>
            </w:r>
          </w:p>
        </w:tc>
        <w:tc>
          <w:tcPr>
            <w:tcW w:w="6215" w:type="dxa"/>
            <w:tcBorders>
              <w:top w:val="single" w:sz="4" w:space="0" w:color="000001"/>
              <w:left w:val="single" w:sz="4" w:space="0" w:color="000001"/>
              <w:bottom w:val="single" w:sz="4" w:space="0" w:color="000001"/>
              <w:right w:val="nil"/>
            </w:tcBorders>
            <w:shd w:val="clear" w:color="auto" w:fill="FFFFFF"/>
            <w:tcMar>
              <w:left w:w="0" w:type="dxa"/>
            </w:tcMar>
          </w:tcPr>
          <w:p w:rsidR="00423A50" w:rsidRDefault="00423A50" w:rsidP="00423A50">
            <w:pPr>
              <w:pStyle w:val="ListParagraph"/>
              <w:numPr>
                <w:ilvl w:val="0"/>
                <w:numId w:val="6"/>
              </w:numPr>
              <w:spacing w:after="0" w:line="100" w:lineRule="atLeast"/>
              <w:jc w:val="both"/>
              <w:rPr>
                <w:szCs w:val="22"/>
              </w:rPr>
            </w:pPr>
            <w:r w:rsidRPr="00423A50">
              <w:rPr>
                <w:szCs w:val="22"/>
              </w:rPr>
              <w:t>The following items of PPE must be worn: Howie-style laboratory coat, BS EN</w:t>
            </w:r>
            <w:r>
              <w:rPr>
                <w:szCs w:val="22"/>
              </w:rPr>
              <w:t xml:space="preserve"> 511</w:t>
            </w:r>
            <w:r w:rsidRPr="00423A50">
              <w:rPr>
                <w:szCs w:val="22"/>
              </w:rPr>
              <w:t xml:space="preserve"> compliant </w:t>
            </w:r>
            <w:r>
              <w:rPr>
                <w:szCs w:val="22"/>
              </w:rPr>
              <w:t xml:space="preserve">thermal </w:t>
            </w:r>
            <w:proofErr w:type="spellStart"/>
            <w:r>
              <w:rPr>
                <w:szCs w:val="22"/>
              </w:rPr>
              <w:t>gloves</w:t>
            </w:r>
            <w:proofErr w:type="gramStart"/>
            <w:r>
              <w:rPr>
                <w:szCs w:val="22"/>
              </w:rPr>
              <w:t>,</w:t>
            </w:r>
            <w:r w:rsidRPr="00423A50">
              <w:rPr>
                <w:szCs w:val="22"/>
              </w:rPr>
              <w:t>BS</w:t>
            </w:r>
            <w:proofErr w:type="spellEnd"/>
            <w:proofErr w:type="gramEnd"/>
            <w:r w:rsidRPr="00423A50">
              <w:rPr>
                <w:szCs w:val="22"/>
              </w:rPr>
              <w:t xml:space="preserve"> EN166 compliant eye protection (chemical splash proof safety glasses)</w:t>
            </w:r>
            <w:r>
              <w:rPr>
                <w:szCs w:val="22"/>
              </w:rPr>
              <w:t xml:space="preserve">, and </w:t>
            </w:r>
            <w:r w:rsidRPr="00423A50">
              <w:rPr>
                <w:szCs w:val="22"/>
              </w:rPr>
              <w:t>stur</w:t>
            </w:r>
            <w:r>
              <w:rPr>
                <w:szCs w:val="22"/>
              </w:rPr>
              <w:t xml:space="preserve">dy </w:t>
            </w:r>
            <w:proofErr w:type="spellStart"/>
            <w:r>
              <w:rPr>
                <w:szCs w:val="22"/>
              </w:rPr>
              <w:t>footware</w:t>
            </w:r>
            <w:proofErr w:type="spellEnd"/>
            <w:r>
              <w:rPr>
                <w:szCs w:val="22"/>
              </w:rPr>
              <w:t xml:space="preserve"> (no steel toe caps)</w:t>
            </w:r>
            <w:r w:rsidRPr="00423A50">
              <w:rPr>
                <w:szCs w:val="22"/>
              </w:rPr>
              <w:t>. A selection of safety glasses and goggles are available from MIB Stores; users are advised to visit Stores and select eye protection which fits well and is comfortable to use. Regular lab inspections monitor the wearing of PPE; users found not to be wearing PPE when the risk assessment states that it must be worn will be subject to the MIB compliance policy.</w:t>
            </w:r>
          </w:p>
          <w:p w:rsidR="00ED0BB6" w:rsidRPr="00423A50" w:rsidRDefault="00230E1C" w:rsidP="00423A50">
            <w:pPr>
              <w:pStyle w:val="ListParagraph"/>
              <w:numPr>
                <w:ilvl w:val="0"/>
                <w:numId w:val="6"/>
              </w:numPr>
              <w:spacing w:after="0" w:line="100" w:lineRule="atLeast"/>
              <w:jc w:val="both"/>
              <w:rPr>
                <w:szCs w:val="22"/>
              </w:rPr>
            </w:pPr>
            <w:r w:rsidRPr="00423A50">
              <w:rPr>
                <w:sz w:val="22"/>
                <w:szCs w:val="22"/>
              </w:rPr>
              <w:t>All users must have attended cryogenic safety training course.</w:t>
            </w:r>
          </w:p>
          <w:p w:rsidR="00ED0BB6" w:rsidRPr="00230E1C" w:rsidRDefault="00ED0BB6" w:rsidP="00423A50">
            <w:pPr>
              <w:pStyle w:val="ListParagraph"/>
              <w:spacing w:after="0" w:line="100" w:lineRule="atLeast"/>
              <w:ind w:left="317"/>
              <w:jc w:val="both"/>
              <w:rPr>
                <w:szCs w:val="22"/>
              </w:rPr>
            </w:pPr>
          </w:p>
        </w:tc>
        <w:tc>
          <w:tcPr>
            <w:tcW w:w="86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L/M</w:t>
            </w:r>
          </w:p>
        </w:tc>
        <w:tc>
          <w:tcPr>
            <w:tcW w:w="91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A</w:t>
            </w:r>
          </w:p>
        </w:tc>
      </w:tr>
      <w:tr w:rsidR="00ED0BB6" w:rsidRPr="00230E1C" w:rsidTr="00230E1C">
        <w:trPr>
          <w:jc w:val="center"/>
        </w:trPr>
        <w:tc>
          <w:tcPr>
            <w:tcW w:w="1893"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ED0BB6" w:rsidP="00423A50">
            <w:pPr>
              <w:spacing w:after="0" w:line="100" w:lineRule="atLeast"/>
              <w:jc w:val="both"/>
              <w:rPr>
                <w:szCs w:val="22"/>
              </w:rPr>
            </w:pPr>
          </w:p>
        </w:tc>
        <w:tc>
          <w:tcPr>
            <w:tcW w:w="168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Work at height</w:t>
            </w:r>
          </w:p>
        </w:tc>
        <w:tc>
          <w:tcPr>
            <w:tcW w:w="2441"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ED0BB6" w:rsidP="00423A50">
            <w:pPr>
              <w:spacing w:after="0" w:line="100" w:lineRule="atLeast"/>
              <w:jc w:val="both"/>
              <w:rPr>
                <w:szCs w:val="22"/>
              </w:rPr>
            </w:pPr>
          </w:p>
        </w:tc>
        <w:tc>
          <w:tcPr>
            <w:tcW w:w="6215"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423A50" w:rsidRDefault="00230E1C" w:rsidP="00423A50">
            <w:pPr>
              <w:pStyle w:val="ListParagraph"/>
              <w:numPr>
                <w:ilvl w:val="0"/>
                <w:numId w:val="14"/>
              </w:numPr>
              <w:tabs>
                <w:tab w:val="left" w:pos="776"/>
              </w:tabs>
              <w:spacing w:after="0" w:line="100" w:lineRule="atLeast"/>
              <w:jc w:val="both"/>
              <w:rPr>
                <w:szCs w:val="22"/>
              </w:rPr>
            </w:pPr>
            <w:r w:rsidRPr="00423A50">
              <w:rPr>
                <w:sz w:val="22"/>
                <w:szCs w:val="22"/>
              </w:rPr>
              <w:t>Stepladders to BS EN 131 standard</w:t>
            </w:r>
          </w:p>
          <w:p w:rsidR="00423A50" w:rsidRPr="00423A50" w:rsidRDefault="00423A50" w:rsidP="00423A50">
            <w:pPr>
              <w:pStyle w:val="ListParagraph"/>
              <w:numPr>
                <w:ilvl w:val="0"/>
                <w:numId w:val="14"/>
              </w:numPr>
              <w:tabs>
                <w:tab w:val="left" w:pos="776"/>
              </w:tabs>
              <w:spacing w:after="0" w:line="100" w:lineRule="atLeast"/>
              <w:jc w:val="both"/>
              <w:rPr>
                <w:szCs w:val="22"/>
              </w:rPr>
            </w:pPr>
            <w:r w:rsidRPr="00423A50">
              <w:rPr>
                <w:sz w:val="22"/>
                <w:szCs w:val="22"/>
              </w:rPr>
              <w:t>All users must receive stepladder/work at height training</w:t>
            </w:r>
          </w:p>
        </w:tc>
        <w:tc>
          <w:tcPr>
            <w:tcW w:w="86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ED0BB6" w:rsidP="00423A50">
            <w:pPr>
              <w:spacing w:after="0" w:line="100" w:lineRule="atLeast"/>
              <w:jc w:val="both"/>
              <w:rPr>
                <w:szCs w:val="22"/>
              </w:rPr>
            </w:pPr>
          </w:p>
        </w:tc>
        <w:tc>
          <w:tcPr>
            <w:tcW w:w="91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D0BB6" w:rsidRPr="00230E1C" w:rsidRDefault="00ED0BB6" w:rsidP="00423A50">
            <w:pPr>
              <w:spacing w:after="0" w:line="100" w:lineRule="atLeast"/>
              <w:jc w:val="both"/>
              <w:rPr>
                <w:szCs w:val="22"/>
              </w:rPr>
            </w:pPr>
          </w:p>
          <w:p w:rsidR="00ED0BB6" w:rsidRPr="00230E1C" w:rsidRDefault="00ED0BB6" w:rsidP="00423A50">
            <w:pPr>
              <w:spacing w:after="0" w:line="100" w:lineRule="atLeast"/>
              <w:jc w:val="both"/>
              <w:rPr>
                <w:szCs w:val="22"/>
              </w:rPr>
            </w:pPr>
          </w:p>
        </w:tc>
      </w:tr>
      <w:tr w:rsidR="00ED0BB6" w:rsidRPr="00230E1C" w:rsidTr="00230E1C">
        <w:trPr>
          <w:jc w:val="center"/>
        </w:trPr>
        <w:tc>
          <w:tcPr>
            <w:tcW w:w="1893"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 xml:space="preserve">Filling magnets with liquid helium </w:t>
            </w:r>
          </w:p>
          <w:p w:rsidR="00ED0BB6" w:rsidRPr="00230E1C" w:rsidRDefault="00ED0BB6" w:rsidP="00423A50">
            <w:pPr>
              <w:spacing w:after="0" w:line="100" w:lineRule="atLeast"/>
              <w:jc w:val="both"/>
              <w:rPr>
                <w:szCs w:val="22"/>
              </w:rPr>
            </w:pPr>
          </w:p>
        </w:tc>
        <w:tc>
          <w:tcPr>
            <w:tcW w:w="168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Magnetic field</w:t>
            </w:r>
          </w:p>
        </w:tc>
        <w:tc>
          <w:tcPr>
            <w:tcW w:w="2441"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 xml:space="preserve">People filling magnet. Same mechanisms of risk as above, but increased by use of ferrous gas cylinders </w:t>
            </w:r>
            <w:r w:rsidRPr="00230E1C">
              <w:rPr>
                <w:sz w:val="22"/>
                <w:szCs w:val="22"/>
              </w:rPr>
              <w:lastRenderedPageBreak/>
              <w:t>(He fill only).</w:t>
            </w:r>
          </w:p>
        </w:tc>
        <w:tc>
          <w:tcPr>
            <w:tcW w:w="6215" w:type="dxa"/>
            <w:tcBorders>
              <w:top w:val="single" w:sz="4" w:space="0" w:color="000001"/>
              <w:left w:val="single" w:sz="4" w:space="0" w:color="000001"/>
              <w:bottom w:val="single" w:sz="4" w:space="0" w:color="000001"/>
              <w:right w:val="nil"/>
            </w:tcBorders>
            <w:shd w:val="clear" w:color="auto" w:fill="FFFFFF"/>
            <w:tcMar>
              <w:left w:w="0" w:type="dxa"/>
            </w:tcMar>
          </w:tcPr>
          <w:p w:rsidR="00423A50" w:rsidRPr="00423A50" w:rsidRDefault="00230E1C" w:rsidP="00423A50">
            <w:pPr>
              <w:pStyle w:val="ListParagraph"/>
              <w:numPr>
                <w:ilvl w:val="0"/>
                <w:numId w:val="15"/>
              </w:numPr>
              <w:tabs>
                <w:tab w:val="left" w:pos="776"/>
              </w:tabs>
              <w:spacing w:after="0" w:line="100" w:lineRule="atLeast"/>
              <w:jc w:val="both"/>
              <w:rPr>
                <w:szCs w:val="22"/>
              </w:rPr>
            </w:pPr>
            <w:r w:rsidRPr="00423A50">
              <w:rPr>
                <w:sz w:val="22"/>
                <w:szCs w:val="22"/>
              </w:rPr>
              <w:lastRenderedPageBreak/>
              <w:t>Select people identified by facility manager to perform helium filled, with appropriate training.</w:t>
            </w:r>
          </w:p>
          <w:p w:rsidR="00ED0BB6" w:rsidRPr="00423A50" w:rsidRDefault="00230E1C" w:rsidP="00423A50">
            <w:pPr>
              <w:pStyle w:val="ListParagraph"/>
              <w:numPr>
                <w:ilvl w:val="0"/>
                <w:numId w:val="15"/>
              </w:numPr>
              <w:tabs>
                <w:tab w:val="left" w:pos="776"/>
              </w:tabs>
              <w:spacing w:after="0" w:line="100" w:lineRule="atLeast"/>
              <w:jc w:val="both"/>
              <w:rPr>
                <w:szCs w:val="22"/>
              </w:rPr>
            </w:pPr>
            <w:proofErr w:type="gramStart"/>
            <w:r w:rsidRPr="00423A50">
              <w:rPr>
                <w:sz w:val="22"/>
                <w:szCs w:val="22"/>
              </w:rPr>
              <w:t>He</w:t>
            </w:r>
            <w:proofErr w:type="gramEnd"/>
            <w:r w:rsidRPr="00423A50">
              <w:rPr>
                <w:sz w:val="22"/>
                <w:szCs w:val="22"/>
              </w:rPr>
              <w:t xml:space="preserve"> gas cylinder located in central region of room and remains there, long tubing used to connect to helium transport vessel.</w:t>
            </w:r>
          </w:p>
        </w:tc>
        <w:tc>
          <w:tcPr>
            <w:tcW w:w="86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L</w:t>
            </w:r>
          </w:p>
        </w:tc>
        <w:tc>
          <w:tcPr>
            <w:tcW w:w="91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A</w:t>
            </w:r>
          </w:p>
        </w:tc>
      </w:tr>
      <w:tr w:rsidR="00ED0BB6" w:rsidRPr="00230E1C" w:rsidTr="00230E1C">
        <w:trPr>
          <w:jc w:val="center"/>
        </w:trPr>
        <w:tc>
          <w:tcPr>
            <w:tcW w:w="1893"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ED0BB6" w:rsidP="00423A50">
            <w:pPr>
              <w:spacing w:after="0" w:line="100" w:lineRule="atLeast"/>
              <w:jc w:val="both"/>
              <w:rPr>
                <w:szCs w:val="22"/>
              </w:rPr>
            </w:pPr>
          </w:p>
        </w:tc>
        <w:tc>
          <w:tcPr>
            <w:tcW w:w="168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Danger of asphyxiation</w:t>
            </w:r>
          </w:p>
        </w:tc>
        <w:tc>
          <w:tcPr>
            <w:tcW w:w="2441"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 xml:space="preserve">People filling </w:t>
            </w:r>
            <w:proofErr w:type="gramStart"/>
            <w:r w:rsidRPr="00230E1C">
              <w:rPr>
                <w:sz w:val="22"/>
                <w:szCs w:val="22"/>
              </w:rPr>
              <w:t>magnet,</w:t>
            </w:r>
            <w:proofErr w:type="gramEnd"/>
            <w:r w:rsidRPr="00230E1C">
              <w:rPr>
                <w:sz w:val="22"/>
                <w:szCs w:val="22"/>
              </w:rPr>
              <w:t xml:space="preserve"> and others in the magnet room during fill. Risk of quench slightly higher during filling. Transport </w:t>
            </w:r>
            <w:proofErr w:type="spellStart"/>
            <w:r w:rsidRPr="00230E1C">
              <w:rPr>
                <w:sz w:val="22"/>
                <w:szCs w:val="22"/>
              </w:rPr>
              <w:t>dewar</w:t>
            </w:r>
            <w:proofErr w:type="spellEnd"/>
            <w:r w:rsidRPr="00230E1C">
              <w:rPr>
                <w:sz w:val="22"/>
                <w:szCs w:val="22"/>
              </w:rPr>
              <w:t xml:space="preserve"> failure may also result in large release of gas</w:t>
            </w:r>
          </w:p>
        </w:tc>
        <w:tc>
          <w:tcPr>
            <w:tcW w:w="6215" w:type="dxa"/>
            <w:tcBorders>
              <w:top w:val="single" w:sz="4" w:space="0" w:color="000001"/>
              <w:left w:val="single" w:sz="4" w:space="0" w:color="000001"/>
              <w:bottom w:val="single" w:sz="4" w:space="0" w:color="000001"/>
              <w:right w:val="nil"/>
            </w:tcBorders>
            <w:shd w:val="clear" w:color="auto" w:fill="FFFFFF"/>
            <w:tcMar>
              <w:left w:w="0" w:type="dxa"/>
            </w:tcMar>
          </w:tcPr>
          <w:p w:rsidR="00423A50" w:rsidRPr="00423A50" w:rsidRDefault="00230E1C" w:rsidP="00423A50">
            <w:pPr>
              <w:pStyle w:val="ListParagraph"/>
              <w:numPr>
                <w:ilvl w:val="0"/>
                <w:numId w:val="16"/>
              </w:numPr>
              <w:tabs>
                <w:tab w:val="left" w:pos="776"/>
              </w:tabs>
              <w:spacing w:after="0" w:line="100" w:lineRule="atLeast"/>
              <w:jc w:val="both"/>
              <w:rPr>
                <w:szCs w:val="22"/>
              </w:rPr>
            </w:pPr>
            <w:r w:rsidRPr="00423A50">
              <w:rPr>
                <w:sz w:val="22"/>
                <w:szCs w:val="22"/>
              </w:rPr>
              <w:t>Control measures as detailed above</w:t>
            </w:r>
          </w:p>
          <w:p w:rsidR="00423A50" w:rsidRPr="00423A50" w:rsidRDefault="00230E1C" w:rsidP="00423A50">
            <w:pPr>
              <w:pStyle w:val="ListParagraph"/>
              <w:numPr>
                <w:ilvl w:val="0"/>
                <w:numId w:val="16"/>
              </w:numPr>
              <w:tabs>
                <w:tab w:val="left" w:pos="776"/>
              </w:tabs>
              <w:spacing w:after="0" w:line="100" w:lineRule="atLeast"/>
              <w:jc w:val="both"/>
              <w:rPr>
                <w:szCs w:val="22"/>
              </w:rPr>
            </w:pPr>
            <w:r w:rsidRPr="00423A50">
              <w:rPr>
                <w:sz w:val="22"/>
                <w:szCs w:val="22"/>
              </w:rPr>
              <w:t>Fills will performed according to the safe operating document; any personnel conducting a liquid helium fill must have also attended stepladder training and gas safety training (which includes cryogen training).</w:t>
            </w:r>
          </w:p>
          <w:p w:rsidR="00423A50" w:rsidRPr="00423A50" w:rsidRDefault="00230E1C" w:rsidP="00423A50">
            <w:pPr>
              <w:pStyle w:val="ListParagraph"/>
              <w:numPr>
                <w:ilvl w:val="0"/>
                <w:numId w:val="16"/>
              </w:numPr>
              <w:tabs>
                <w:tab w:val="left" w:pos="776"/>
              </w:tabs>
              <w:spacing w:after="0" w:line="100" w:lineRule="atLeast"/>
              <w:jc w:val="both"/>
              <w:rPr>
                <w:szCs w:val="22"/>
              </w:rPr>
            </w:pPr>
            <w:r w:rsidRPr="00423A50">
              <w:rPr>
                <w:sz w:val="22"/>
                <w:szCs w:val="22"/>
              </w:rPr>
              <w:t xml:space="preserve">2 persons to perform filling, one to contact emergency services in case of serious injury. </w:t>
            </w:r>
          </w:p>
          <w:p w:rsidR="00423A50" w:rsidRPr="00423A50" w:rsidRDefault="00230E1C" w:rsidP="00423A50">
            <w:pPr>
              <w:pStyle w:val="ListParagraph"/>
              <w:numPr>
                <w:ilvl w:val="0"/>
                <w:numId w:val="16"/>
              </w:numPr>
              <w:tabs>
                <w:tab w:val="left" w:pos="776"/>
              </w:tabs>
              <w:spacing w:after="0" w:line="100" w:lineRule="atLeast"/>
              <w:jc w:val="both"/>
              <w:rPr>
                <w:szCs w:val="22"/>
              </w:rPr>
            </w:pPr>
            <w:r w:rsidRPr="00423A50">
              <w:rPr>
                <w:sz w:val="22"/>
                <w:szCs w:val="22"/>
              </w:rPr>
              <w:t xml:space="preserve">Open door to magnet room during filling procedure, to increase ventilation. </w:t>
            </w:r>
          </w:p>
          <w:p w:rsidR="00ED0BB6" w:rsidRPr="00423A50" w:rsidRDefault="00230E1C" w:rsidP="00423A50">
            <w:pPr>
              <w:pStyle w:val="ListParagraph"/>
              <w:numPr>
                <w:ilvl w:val="0"/>
                <w:numId w:val="16"/>
              </w:numPr>
              <w:tabs>
                <w:tab w:val="left" w:pos="776"/>
              </w:tabs>
              <w:spacing w:after="0" w:line="100" w:lineRule="atLeast"/>
              <w:jc w:val="both"/>
              <w:rPr>
                <w:szCs w:val="22"/>
              </w:rPr>
            </w:pPr>
            <w:r w:rsidRPr="00423A50">
              <w:rPr>
                <w:sz w:val="22"/>
                <w:szCs w:val="22"/>
              </w:rPr>
              <w:t>Carry personal O</w:t>
            </w:r>
            <w:r w:rsidRPr="00423A50">
              <w:rPr>
                <w:sz w:val="22"/>
                <w:szCs w:val="22"/>
                <w:vertAlign w:val="subscript"/>
              </w:rPr>
              <w:t>2</w:t>
            </w:r>
            <w:r w:rsidRPr="00423A50">
              <w:rPr>
                <w:sz w:val="22"/>
                <w:szCs w:val="22"/>
              </w:rPr>
              <w:t xml:space="preserve"> monitor during fill</w:t>
            </w:r>
          </w:p>
        </w:tc>
        <w:tc>
          <w:tcPr>
            <w:tcW w:w="86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L</w:t>
            </w:r>
          </w:p>
        </w:tc>
        <w:tc>
          <w:tcPr>
            <w:tcW w:w="91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A</w:t>
            </w:r>
          </w:p>
        </w:tc>
      </w:tr>
      <w:tr w:rsidR="00ED0BB6" w:rsidRPr="00230E1C" w:rsidTr="00230E1C">
        <w:trPr>
          <w:jc w:val="center"/>
        </w:trPr>
        <w:tc>
          <w:tcPr>
            <w:tcW w:w="1893"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ED0BB6" w:rsidP="00423A50">
            <w:pPr>
              <w:spacing w:after="0" w:line="100" w:lineRule="atLeast"/>
              <w:jc w:val="both"/>
              <w:rPr>
                <w:szCs w:val="22"/>
              </w:rPr>
            </w:pPr>
          </w:p>
        </w:tc>
        <w:tc>
          <w:tcPr>
            <w:tcW w:w="168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Extreme cold</w:t>
            </w:r>
          </w:p>
        </w:tc>
        <w:tc>
          <w:tcPr>
            <w:tcW w:w="2441"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People filling magnet. Cold burns to skin on contact with liquid cryogen or metal components in contact with liquid cryogens.</w:t>
            </w:r>
          </w:p>
        </w:tc>
        <w:tc>
          <w:tcPr>
            <w:tcW w:w="6215" w:type="dxa"/>
            <w:tcBorders>
              <w:top w:val="single" w:sz="4" w:space="0" w:color="000001"/>
              <w:left w:val="single" w:sz="4" w:space="0" w:color="000001"/>
              <w:bottom w:val="single" w:sz="4" w:space="0" w:color="000001"/>
              <w:right w:val="nil"/>
            </w:tcBorders>
            <w:shd w:val="clear" w:color="auto" w:fill="FFFFFF"/>
            <w:tcMar>
              <w:left w:w="0" w:type="dxa"/>
            </w:tcMar>
          </w:tcPr>
          <w:p w:rsidR="00423A50" w:rsidRDefault="00423A50" w:rsidP="00423A50">
            <w:pPr>
              <w:pStyle w:val="ListParagraph"/>
              <w:numPr>
                <w:ilvl w:val="0"/>
                <w:numId w:val="6"/>
              </w:numPr>
              <w:spacing w:after="0" w:line="100" w:lineRule="atLeast"/>
              <w:jc w:val="both"/>
              <w:rPr>
                <w:szCs w:val="22"/>
              </w:rPr>
            </w:pPr>
            <w:r w:rsidRPr="00423A50">
              <w:rPr>
                <w:szCs w:val="22"/>
              </w:rPr>
              <w:t>The following items of PPE must be worn: Howie-style laboratory coat, BS EN</w:t>
            </w:r>
            <w:r>
              <w:rPr>
                <w:szCs w:val="22"/>
              </w:rPr>
              <w:t xml:space="preserve"> 511</w:t>
            </w:r>
            <w:r w:rsidRPr="00423A50">
              <w:rPr>
                <w:szCs w:val="22"/>
              </w:rPr>
              <w:t xml:space="preserve"> compliant </w:t>
            </w:r>
            <w:r>
              <w:rPr>
                <w:szCs w:val="22"/>
              </w:rPr>
              <w:t xml:space="preserve">thermal </w:t>
            </w:r>
            <w:proofErr w:type="spellStart"/>
            <w:r>
              <w:rPr>
                <w:szCs w:val="22"/>
              </w:rPr>
              <w:t>gloves</w:t>
            </w:r>
            <w:proofErr w:type="gramStart"/>
            <w:r>
              <w:rPr>
                <w:szCs w:val="22"/>
              </w:rPr>
              <w:t>,</w:t>
            </w:r>
            <w:r w:rsidRPr="00423A50">
              <w:rPr>
                <w:szCs w:val="22"/>
              </w:rPr>
              <w:t>BS</w:t>
            </w:r>
            <w:proofErr w:type="spellEnd"/>
            <w:proofErr w:type="gramEnd"/>
            <w:r w:rsidRPr="00423A50">
              <w:rPr>
                <w:szCs w:val="22"/>
              </w:rPr>
              <w:t xml:space="preserve"> EN166 compliant eye protection (chemical splash proof safety glasses)</w:t>
            </w:r>
            <w:r>
              <w:rPr>
                <w:szCs w:val="22"/>
              </w:rPr>
              <w:t xml:space="preserve">, and </w:t>
            </w:r>
            <w:r w:rsidRPr="00423A50">
              <w:rPr>
                <w:szCs w:val="22"/>
              </w:rPr>
              <w:t>stur</w:t>
            </w:r>
            <w:r>
              <w:rPr>
                <w:szCs w:val="22"/>
              </w:rPr>
              <w:t xml:space="preserve">dy </w:t>
            </w:r>
            <w:proofErr w:type="spellStart"/>
            <w:r>
              <w:rPr>
                <w:szCs w:val="22"/>
              </w:rPr>
              <w:t>footware</w:t>
            </w:r>
            <w:proofErr w:type="spellEnd"/>
            <w:r>
              <w:rPr>
                <w:szCs w:val="22"/>
              </w:rPr>
              <w:t xml:space="preserve"> (no steel toe caps)</w:t>
            </w:r>
            <w:r w:rsidRPr="00423A50">
              <w:rPr>
                <w:szCs w:val="22"/>
              </w:rPr>
              <w:t>. A selection of safety glasses and goggles are available from MIB Stores; users are advised to visit Stores and select eye protection which fits well and is comfortable to use. Regular lab inspections monitor the wearing of PPE; users found not to be wearing PPE when the risk assessment states that it must be worn will be subject to the MIB compliance policy.</w:t>
            </w:r>
          </w:p>
          <w:p w:rsidR="00ED0BB6" w:rsidRPr="00423A50" w:rsidRDefault="00230E1C" w:rsidP="00423A50">
            <w:pPr>
              <w:pStyle w:val="ListParagraph"/>
              <w:numPr>
                <w:ilvl w:val="0"/>
                <w:numId w:val="6"/>
              </w:numPr>
              <w:spacing w:after="0" w:line="100" w:lineRule="atLeast"/>
              <w:jc w:val="both"/>
              <w:rPr>
                <w:szCs w:val="22"/>
              </w:rPr>
            </w:pPr>
            <w:r w:rsidRPr="00423A50">
              <w:rPr>
                <w:sz w:val="22"/>
                <w:szCs w:val="22"/>
              </w:rPr>
              <w:t>All users must have attended cryogen safety training course.</w:t>
            </w:r>
          </w:p>
        </w:tc>
        <w:tc>
          <w:tcPr>
            <w:tcW w:w="86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L/M</w:t>
            </w:r>
          </w:p>
        </w:tc>
        <w:tc>
          <w:tcPr>
            <w:tcW w:w="91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A</w:t>
            </w:r>
          </w:p>
        </w:tc>
      </w:tr>
      <w:tr w:rsidR="00ED0BB6" w:rsidRPr="00230E1C" w:rsidTr="00230E1C">
        <w:trPr>
          <w:jc w:val="center"/>
        </w:trPr>
        <w:tc>
          <w:tcPr>
            <w:tcW w:w="1893"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ED0BB6" w:rsidP="00423A50">
            <w:pPr>
              <w:spacing w:after="0" w:line="100" w:lineRule="atLeast"/>
              <w:jc w:val="both"/>
              <w:rPr>
                <w:szCs w:val="22"/>
              </w:rPr>
            </w:pPr>
          </w:p>
        </w:tc>
        <w:tc>
          <w:tcPr>
            <w:tcW w:w="168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High pressure gas</w:t>
            </w:r>
          </w:p>
        </w:tc>
        <w:tc>
          <w:tcPr>
            <w:tcW w:w="2441"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People filling magnet</w:t>
            </w:r>
            <w:proofErr w:type="gramStart"/>
            <w:r w:rsidRPr="00230E1C">
              <w:rPr>
                <w:sz w:val="22"/>
                <w:szCs w:val="22"/>
              </w:rPr>
              <w:t>,  explosion</w:t>
            </w:r>
            <w:proofErr w:type="gramEnd"/>
            <w:r w:rsidRPr="00230E1C">
              <w:rPr>
                <w:sz w:val="22"/>
                <w:szCs w:val="22"/>
              </w:rPr>
              <w:t xml:space="preserve"> caused by </w:t>
            </w:r>
            <w:proofErr w:type="spellStart"/>
            <w:r w:rsidRPr="00230E1C">
              <w:rPr>
                <w:sz w:val="22"/>
                <w:szCs w:val="22"/>
              </w:rPr>
              <w:t>build up</w:t>
            </w:r>
            <w:proofErr w:type="spellEnd"/>
            <w:r w:rsidRPr="00230E1C">
              <w:rPr>
                <w:sz w:val="22"/>
                <w:szCs w:val="22"/>
              </w:rPr>
              <w:t xml:space="preserve"> of gas in transport vessel or magnet.</w:t>
            </w:r>
          </w:p>
        </w:tc>
        <w:tc>
          <w:tcPr>
            <w:tcW w:w="6215" w:type="dxa"/>
            <w:tcBorders>
              <w:top w:val="single" w:sz="4" w:space="0" w:color="000001"/>
              <w:left w:val="single" w:sz="4" w:space="0" w:color="000001"/>
              <w:bottom w:val="single" w:sz="4" w:space="0" w:color="000001"/>
              <w:right w:val="nil"/>
            </w:tcBorders>
            <w:shd w:val="clear" w:color="auto" w:fill="FFFFFF"/>
            <w:tcMar>
              <w:left w:w="0" w:type="dxa"/>
            </w:tcMar>
          </w:tcPr>
          <w:p w:rsidR="00423A50" w:rsidRPr="00423A50" w:rsidRDefault="00230E1C" w:rsidP="00423A50">
            <w:pPr>
              <w:pStyle w:val="ListParagraph"/>
              <w:numPr>
                <w:ilvl w:val="0"/>
                <w:numId w:val="17"/>
              </w:numPr>
              <w:tabs>
                <w:tab w:val="left" w:pos="776"/>
              </w:tabs>
              <w:spacing w:after="0" w:line="100" w:lineRule="atLeast"/>
              <w:jc w:val="both"/>
              <w:rPr>
                <w:szCs w:val="22"/>
              </w:rPr>
            </w:pPr>
            <w:r w:rsidRPr="00423A50">
              <w:rPr>
                <w:sz w:val="22"/>
                <w:szCs w:val="22"/>
              </w:rPr>
              <w:t xml:space="preserve">Normal air gases freeze at liquid helium temperatures and may block safety of fill/empty valves and transfer lines. </w:t>
            </w:r>
          </w:p>
          <w:p w:rsidR="00ED0BB6" w:rsidRPr="00423A50" w:rsidRDefault="00230E1C" w:rsidP="00423A50">
            <w:pPr>
              <w:pStyle w:val="ListParagraph"/>
              <w:numPr>
                <w:ilvl w:val="0"/>
                <w:numId w:val="17"/>
              </w:numPr>
              <w:tabs>
                <w:tab w:val="left" w:pos="776"/>
              </w:tabs>
              <w:spacing w:after="0" w:line="100" w:lineRule="atLeast"/>
              <w:jc w:val="both"/>
              <w:rPr>
                <w:szCs w:val="22"/>
              </w:rPr>
            </w:pPr>
            <w:r w:rsidRPr="00423A50">
              <w:rPr>
                <w:sz w:val="22"/>
                <w:szCs w:val="22"/>
              </w:rPr>
              <w:t>All lines should be purged with gaseous He before connection to liquid helium containing vessels.</w:t>
            </w:r>
          </w:p>
        </w:tc>
        <w:tc>
          <w:tcPr>
            <w:tcW w:w="86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L/M</w:t>
            </w:r>
          </w:p>
        </w:tc>
        <w:tc>
          <w:tcPr>
            <w:tcW w:w="91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A</w:t>
            </w:r>
          </w:p>
        </w:tc>
      </w:tr>
      <w:tr w:rsidR="00ED0BB6" w:rsidRPr="00230E1C" w:rsidTr="00230E1C">
        <w:trPr>
          <w:jc w:val="center"/>
        </w:trPr>
        <w:tc>
          <w:tcPr>
            <w:tcW w:w="1893"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ED0BB6" w:rsidP="00423A50">
            <w:pPr>
              <w:spacing w:after="0" w:line="100" w:lineRule="atLeast"/>
              <w:jc w:val="both"/>
              <w:rPr>
                <w:szCs w:val="22"/>
              </w:rPr>
            </w:pPr>
          </w:p>
        </w:tc>
        <w:tc>
          <w:tcPr>
            <w:tcW w:w="168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Work at height</w:t>
            </w:r>
          </w:p>
        </w:tc>
        <w:tc>
          <w:tcPr>
            <w:tcW w:w="2441"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ED0BB6" w:rsidP="00423A50">
            <w:pPr>
              <w:spacing w:after="0" w:line="100" w:lineRule="atLeast"/>
              <w:jc w:val="both"/>
              <w:rPr>
                <w:szCs w:val="22"/>
              </w:rPr>
            </w:pPr>
          </w:p>
        </w:tc>
        <w:tc>
          <w:tcPr>
            <w:tcW w:w="6215" w:type="dxa"/>
            <w:tcBorders>
              <w:top w:val="single" w:sz="4" w:space="0" w:color="000001"/>
              <w:left w:val="single" w:sz="4" w:space="0" w:color="000001"/>
              <w:bottom w:val="single" w:sz="4" w:space="0" w:color="000001"/>
              <w:right w:val="nil"/>
            </w:tcBorders>
            <w:shd w:val="clear" w:color="auto" w:fill="FFFFFF"/>
            <w:tcMar>
              <w:left w:w="0" w:type="dxa"/>
            </w:tcMar>
          </w:tcPr>
          <w:p w:rsidR="00D30A78" w:rsidRPr="00D30A78" w:rsidRDefault="00230E1C" w:rsidP="00D30A78">
            <w:pPr>
              <w:pStyle w:val="ListParagraph"/>
              <w:numPr>
                <w:ilvl w:val="0"/>
                <w:numId w:val="18"/>
              </w:numPr>
              <w:tabs>
                <w:tab w:val="left" w:pos="776"/>
              </w:tabs>
              <w:spacing w:after="0" w:line="100" w:lineRule="atLeast"/>
              <w:jc w:val="both"/>
              <w:rPr>
                <w:szCs w:val="22"/>
              </w:rPr>
            </w:pPr>
            <w:r w:rsidRPr="00D30A78">
              <w:rPr>
                <w:sz w:val="22"/>
                <w:szCs w:val="22"/>
              </w:rPr>
              <w:t>Stepladders to BS EN 131 standard</w:t>
            </w:r>
          </w:p>
          <w:p w:rsidR="00ED0BB6" w:rsidRPr="00D30A78" w:rsidRDefault="00D30A78" w:rsidP="00D30A78">
            <w:pPr>
              <w:pStyle w:val="ListParagraph"/>
              <w:numPr>
                <w:ilvl w:val="0"/>
                <w:numId w:val="18"/>
              </w:numPr>
              <w:tabs>
                <w:tab w:val="left" w:pos="776"/>
              </w:tabs>
              <w:spacing w:after="0" w:line="100" w:lineRule="atLeast"/>
              <w:jc w:val="both"/>
              <w:rPr>
                <w:szCs w:val="22"/>
              </w:rPr>
            </w:pPr>
            <w:r w:rsidRPr="00D30A78">
              <w:rPr>
                <w:sz w:val="22"/>
                <w:szCs w:val="22"/>
              </w:rPr>
              <w:t>All users must receive stepladder/work at height training</w:t>
            </w:r>
          </w:p>
        </w:tc>
        <w:tc>
          <w:tcPr>
            <w:tcW w:w="868" w:type="dxa"/>
            <w:tcBorders>
              <w:top w:val="single" w:sz="4" w:space="0" w:color="000001"/>
              <w:left w:val="single" w:sz="4" w:space="0" w:color="000001"/>
              <w:bottom w:val="single" w:sz="4" w:space="0" w:color="000001"/>
              <w:right w:val="nil"/>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L</w:t>
            </w:r>
          </w:p>
        </w:tc>
        <w:tc>
          <w:tcPr>
            <w:tcW w:w="912"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D0BB6" w:rsidRPr="00230E1C" w:rsidRDefault="00230E1C" w:rsidP="00423A50">
            <w:pPr>
              <w:spacing w:after="0" w:line="100" w:lineRule="atLeast"/>
              <w:jc w:val="both"/>
              <w:rPr>
                <w:szCs w:val="22"/>
              </w:rPr>
            </w:pPr>
            <w:r w:rsidRPr="00230E1C">
              <w:rPr>
                <w:sz w:val="22"/>
                <w:szCs w:val="22"/>
              </w:rPr>
              <w:t>A</w:t>
            </w:r>
          </w:p>
        </w:tc>
      </w:tr>
    </w:tbl>
    <w:p w:rsidR="00ED0BB6" w:rsidRPr="00230E1C" w:rsidRDefault="00ED0BB6" w:rsidP="00423A50">
      <w:pPr>
        <w:spacing w:line="100" w:lineRule="atLeast"/>
        <w:jc w:val="both"/>
        <w:rPr>
          <w:sz w:val="22"/>
          <w:szCs w:val="22"/>
        </w:rPr>
      </w:pPr>
    </w:p>
    <w:tbl>
      <w:tblPr>
        <w:tblW w:w="0" w:type="auto"/>
        <w:tblInd w:w="-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4218"/>
      </w:tblGrid>
      <w:tr w:rsidR="00ED0BB6" w:rsidRPr="00230E1C">
        <w:trPr>
          <w:trHeight w:val="577"/>
        </w:trPr>
        <w:tc>
          <w:tcPr>
            <w:tcW w:w="142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D0BB6" w:rsidRPr="00230E1C" w:rsidRDefault="00230E1C" w:rsidP="00423A50">
            <w:pPr>
              <w:spacing w:line="100" w:lineRule="atLeast"/>
              <w:jc w:val="both"/>
              <w:rPr>
                <w:b/>
                <w:szCs w:val="22"/>
                <w:u w:val="single"/>
              </w:rPr>
            </w:pPr>
            <w:proofErr w:type="gramStart"/>
            <w:r w:rsidRPr="00230E1C">
              <w:rPr>
                <w:b/>
                <w:sz w:val="22"/>
                <w:szCs w:val="22"/>
                <w:u w:val="single"/>
              </w:rPr>
              <w:t>Authorisation  by</w:t>
            </w:r>
            <w:proofErr w:type="gramEnd"/>
            <w:r w:rsidRPr="00230E1C">
              <w:rPr>
                <w:b/>
                <w:sz w:val="22"/>
                <w:szCs w:val="22"/>
                <w:u w:val="single"/>
              </w:rPr>
              <w:t xml:space="preserve"> Facility Manager </w:t>
            </w:r>
            <w:r w:rsidRPr="00230E1C">
              <w:rPr>
                <w:b/>
                <w:sz w:val="22"/>
                <w:szCs w:val="22"/>
              </w:rPr>
              <w:t xml:space="preserve">I confirm that I have considered and understand the experiment and the associated hazards. I am satisfied that all of the hazards have been identified and that the control measures to be followed will reduce the risks to acceptable levels. </w:t>
            </w:r>
          </w:p>
          <w:p w:rsidR="00ED0BB6" w:rsidRPr="00230E1C" w:rsidRDefault="00ED0BB6" w:rsidP="00423A50">
            <w:pPr>
              <w:spacing w:line="100" w:lineRule="atLeast"/>
              <w:jc w:val="both"/>
              <w:rPr>
                <w:szCs w:val="22"/>
              </w:rPr>
            </w:pPr>
          </w:p>
          <w:p w:rsidR="00ED0BB6" w:rsidRPr="00230E1C" w:rsidRDefault="00230E1C" w:rsidP="00423A50">
            <w:pPr>
              <w:spacing w:line="100" w:lineRule="atLeast"/>
              <w:jc w:val="both"/>
              <w:rPr>
                <w:b/>
                <w:szCs w:val="22"/>
              </w:rPr>
            </w:pPr>
            <w:r w:rsidRPr="00230E1C">
              <w:rPr>
                <w:b/>
                <w:sz w:val="22"/>
                <w:szCs w:val="22"/>
              </w:rPr>
              <w:t>Print name:                                                                                  Signed:</w:t>
            </w:r>
          </w:p>
          <w:p w:rsidR="00ED0BB6" w:rsidRPr="00230E1C" w:rsidRDefault="00230E1C" w:rsidP="00423A50">
            <w:pPr>
              <w:spacing w:line="100" w:lineRule="atLeast"/>
              <w:jc w:val="both"/>
              <w:rPr>
                <w:b/>
                <w:szCs w:val="22"/>
              </w:rPr>
            </w:pPr>
            <w:r w:rsidRPr="00230E1C">
              <w:rPr>
                <w:b/>
                <w:sz w:val="22"/>
                <w:szCs w:val="22"/>
              </w:rPr>
              <w:t>Date:</w:t>
            </w:r>
          </w:p>
        </w:tc>
      </w:tr>
    </w:tbl>
    <w:p w:rsidR="00ED0BB6" w:rsidRPr="00230E1C" w:rsidRDefault="00ED0BB6" w:rsidP="00423A50">
      <w:pPr>
        <w:spacing w:line="100" w:lineRule="atLeast"/>
        <w:jc w:val="both"/>
        <w:rPr>
          <w:sz w:val="22"/>
          <w:szCs w:val="22"/>
        </w:rPr>
      </w:pPr>
    </w:p>
    <w:p w:rsidR="00EF3E0F" w:rsidRPr="00EF3E0F" w:rsidRDefault="00EF3E0F" w:rsidP="00423A50">
      <w:pPr>
        <w:tabs>
          <w:tab w:val="clear" w:pos="720"/>
        </w:tabs>
        <w:suppressAutoHyphens w:val="0"/>
        <w:spacing w:after="0" w:line="240" w:lineRule="auto"/>
        <w:jc w:val="both"/>
        <w:rPr>
          <w:color w:val="auto"/>
          <w:sz w:val="22"/>
          <w:szCs w:val="22"/>
          <w:lang w:eastAsia="en-US"/>
        </w:rPr>
      </w:pPr>
      <w:r w:rsidRPr="00EF3E0F">
        <w:rPr>
          <w:b/>
          <w:color w:val="auto"/>
          <w:sz w:val="22"/>
          <w:szCs w:val="22"/>
          <w:u w:val="single"/>
          <w:lang w:eastAsia="en-US"/>
        </w:rPr>
        <w:t>Declaration by researcher</w:t>
      </w:r>
    </w:p>
    <w:p w:rsidR="00EF3E0F" w:rsidRPr="00EF3E0F" w:rsidRDefault="00EF3E0F" w:rsidP="00423A50">
      <w:pPr>
        <w:tabs>
          <w:tab w:val="clear" w:pos="720"/>
        </w:tabs>
        <w:suppressAutoHyphens w:val="0"/>
        <w:spacing w:after="0" w:line="240" w:lineRule="auto"/>
        <w:jc w:val="both"/>
        <w:rPr>
          <w:b/>
          <w:color w:val="auto"/>
          <w:sz w:val="22"/>
          <w:szCs w:val="22"/>
          <w:lang w:eastAsia="en-US"/>
        </w:rPr>
      </w:pPr>
      <w:r w:rsidRPr="00EF3E0F">
        <w:rPr>
          <w:b/>
          <w:color w:val="auto"/>
          <w:sz w:val="22"/>
          <w:szCs w:val="22"/>
          <w:lang w:eastAsia="en-US"/>
        </w:rPr>
        <w:t>I confirm that I have read this Risk Assessment and that I understand the hazards and risks involved and will follow all of the safety procedures stated. Where PPE has been identified as a control measure, I will ensure that it is worn.</w:t>
      </w:r>
    </w:p>
    <w:p w:rsidR="00EF3E0F" w:rsidRDefault="00EF3E0F" w:rsidP="00423A50">
      <w:pPr>
        <w:spacing w:line="100" w:lineRule="atLeast"/>
        <w:jc w:val="both"/>
        <w:rPr>
          <w:b/>
          <w:sz w:val="22"/>
          <w:szCs w:val="22"/>
          <w:u w:val="single"/>
        </w:rPr>
      </w:pPr>
    </w:p>
    <w:p w:rsidR="00230E1C" w:rsidRPr="00D30A78" w:rsidRDefault="00230E1C" w:rsidP="00423A50">
      <w:pPr>
        <w:spacing w:line="100" w:lineRule="atLeast"/>
        <w:jc w:val="both"/>
        <w:rPr>
          <w:b/>
          <w:sz w:val="22"/>
          <w:szCs w:val="22"/>
          <w:u w:val="single"/>
        </w:rPr>
      </w:pPr>
      <w:proofErr w:type="gramStart"/>
      <w:r w:rsidRPr="00230E1C">
        <w:rPr>
          <w:b/>
          <w:sz w:val="22"/>
          <w:szCs w:val="22"/>
          <w:u w:val="single"/>
        </w:rPr>
        <w:t xml:space="preserve">Declaration by Facility </w:t>
      </w:r>
      <w:proofErr w:type="spellStart"/>
      <w:r w:rsidRPr="00230E1C">
        <w:rPr>
          <w:b/>
          <w:sz w:val="22"/>
          <w:szCs w:val="22"/>
          <w:u w:val="single"/>
        </w:rPr>
        <w:t>Manager</w:t>
      </w:r>
      <w:r w:rsidRPr="00230E1C">
        <w:rPr>
          <w:b/>
          <w:sz w:val="22"/>
          <w:szCs w:val="22"/>
        </w:rPr>
        <w:t>I</w:t>
      </w:r>
      <w:proofErr w:type="spellEnd"/>
      <w:r w:rsidRPr="00230E1C">
        <w:rPr>
          <w:b/>
          <w:sz w:val="22"/>
          <w:szCs w:val="22"/>
        </w:rPr>
        <w:t xml:space="preserve"> confirm</w:t>
      </w:r>
      <w:proofErr w:type="gramEnd"/>
      <w:r w:rsidRPr="00230E1C">
        <w:rPr>
          <w:b/>
          <w:sz w:val="22"/>
          <w:szCs w:val="22"/>
        </w:rPr>
        <w:t xml:space="preserve"> that the researcher who has signed below is competent to undertake the work. My counter-signature indicates that I am happy for the work to proceed.</w:t>
      </w:r>
    </w:p>
    <w:tbl>
      <w:tblPr>
        <w:tblW w:w="0" w:type="auto"/>
        <w:tblInd w:w="-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506"/>
        <w:gridCol w:w="4532"/>
        <w:gridCol w:w="4535"/>
        <w:gridCol w:w="1641"/>
      </w:tblGrid>
      <w:tr w:rsidR="00ED0BB6" w:rsidRPr="00230E1C">
        <w:tc>
          <w:tcPr>
            <w:tcW w:w="3506" w:type="dxa"/>
            <w:tcBorders>
              <w:top w:val="single" w:sz="4" w:space="0" w:color="00000A"/>
              <w:left w:val="single" w:sz="4" w:space="0" w:color="00000A"/>
              <w:bottom w:val="single" w:sz="4" w:space="0" w:color="00000A"/>
              <w:right w:val="single" w:sz="4" w:space="0" w:color="00000A"/>
            </w:tcBorders>
            <w:shd w:val="clear" w:color="auto" w:fill="CCECFF"/>
            <w:tcMar>
              <w:left w:w="98" w:type="dxa"/>
            </w:tcMar>
          </w:tcPr>
          <w:p w:rsidR="00ED0BB6" w:rsidRPr="00230E1C" w:rsidRDefault="00230E1C" w:rsidP="00423A50">
            <w:pPr>
              <w:spacing w:line="100" w:lineRule="atLeast"/>
              <w:jc w:val="both"/>
              <w:rPr>
                <w:b/>
                <w:szCs w:val="22"/>
              </w:rPr>
            </w:pPr>
            <w:r w:rsidRPr="00230E1C">
              <w:rPr>
                <w:b/>
                <w:sz w:val="22"/>
                <w:szCs w:val="22"/>
              </w:rPr>
              <w:t>Name (please print)</w:t>
            </w:r>
          </w:p>
        </w:tc>
        <w:tc>
          <w:tcPr>
            <w:tcW w:w="4532" w:type="dxa"/>
            <w:tcBorders>
              <w:top w:val="single" w:sz="4" w:space="0" w:color="00000A"/>
              <w:left w:val="single" w:sz="4" w:space="0" w:color="00000A"/>
              <w:bottom w:val="single" w:sz="4" w:space="0" w:color="00000A"/>
              <w:right w:val="single" w:sz="4" w:space="0" w:color="00000A"/>
            </w:tcBorders>
            <w:shd w:val="clear" w:color="auto" w:fill="CCECFF"/>
            <w:tcMar>
              <w:left w:w="98" w:type="dxa"/>
            </w:tcMar>
          </w:tcPr>
          <w:p w:rsidR="00ED0BB6" w:rsidRPr="00230E1C" w:rsidRDefault="00230E1C" w:rsidP="00423A50">
            <w:pPr>
              <w:spacing w:line="100" w:lineRule="atLeast"/>
              <w:jc w:val="both"/>
              <w:rPr>
                <w:b/>
                <w:szCs w:val="22"/>
              </w:rPr>
            </w:pPr>
            <w:r w:rsidRPr="00230E1C">
              <w:rPr>
                <w:b/>
                <w:sz w:val="22"/>
                <w:szCs w:val="22"/>
              </w:rPr>
              <w:t>signed</w:t>
            </w:r>
          </w:p>
        </w:tc>
        <w:tc>
          <w:tcPr>
            <w:tcW w:w="4535" w:type="dxa"/>
            <w:tcBorders>
              <w:top w:val="single" w:sz="4" w:space="0" w:color="00000A"/>
              <w:left w:val="single" w:sz="4" w:space="0" w:color="00000A"/>
              <w:bottom w:val="single" w:sz="4" w:space="0" w:color="00000A"/>
              <w:right w:val="single" w:sz="4" w:space="0" w:color="00000A"/>
            </w:tcBorders>
            <w:shd w:val="clear" w:color="auto" w:fill="CCECFF"/>
            <w:tcMar>
              <w:left w:w="98" w:type="dxa"/>
            </w:tcMar>
          </w:tcPr>
          <w:p w:rsidR="00ED0BB6" w:rsidRPr="00230E1C" w:rsidRDefault="00230E1C" w:rsidP="00423A50">
            <w:pPr>
              <w:spacing w:line="100" w:lineRule="atLeast"/>
              <w:jc w:val="both"/>
              <w:rPr>
                <w:b/>
                <w:szCs w:val="22"/>
              </w:rPr>
            </w:pPr>
            <w:r w:rsidRPr="00230E1C">
              <w:rPr>
                <w:b/>
                <w:sz w:val="22"/>
                <w:szCs w:val="22"/>
              </w:rPr>
              <w:t>Facility Manager signature</w:t>
            </w:r>
          </w:p>
        </w:tc>
        <w:tc>
          <w:tcPr>
            <w:tcW w:w="1641" w:type="dxa"/>
            <w:tcBorders>
              <w:top w:val="single" w:sz="4" w:space="0" w:color="00000A"/>
              <w:left w:val="single" w:sz="4" w:space="0" w:color="00000A"/>
              <w:bottom w:val="single" w:sz="4" w:space="0" w:color="00000A"/>
              <w:right w:val="single" w:sz="4" w:space="0" w:color="00000A"/>
            </w:tcBorders>
            <w:shd w:val="clear" w:color="auto" w:fill="CCECFF"/>
            <w:tcMar>
              <w:left w:w="98" w:type="dxa"/>
            </w:tcMar>
          </w:tcPr>
          <w:p w:rsidR="00ED0BB6" w:rsidRPr="00230E1C" w:rsidRDefault="00230E1C" w:rsidP="00423A50">
            <w:pPr>
              <w:spacing w:line="100" w:lineRule="atLeast"/>
              <w:jc w:val="both"/>
              <w:rPr>
                <w:b/>
                <w:szCs w:val="22"/>
              </w:rPr>
            </w:pPr>
            <w:r w:rsidRPr="00230E1C">
              <w:rPr>
                <w:b/>
                <w:sz w:val="22"/>
                <w:szCs w:val="22"/>
              </w:rPr>
              <w:t>date</w:t>
            </w:r>
          </w:p>
        </w:tc>
      </w:tr>
      <w:tr w:rsidR="00ED0BB6" w:rsidRPr="00230E1C">
        <w:trPr>
          <w:trHeight w:val="679"/>
        </w:trPr>
        <w:tc>
          <w:tcPr>
            <w:tcW w:w="350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r>
      <w:tr w:rsidR="00ED0BB6" w:rsidRPr="00230E1C">
        <w:trPr>
          <w:trHeight w:val="679"/>
        </w:trPr>
        <w:tc>
          <w:tcPr>
            <w:tcW w:w="3506"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2"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5"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1641"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r>
      <w:tr w:rsidR="00ED0BB6" w:rsidRPr="00230E1C">
        <w:trPr>
          <w:trHeight w:val="679"/>
        </w:trPr>
        <w:tc>
          <w:tcPr>
            <w:tcW w:w="3506"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2"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5"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1641"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r>
      <w:tr w:rsidR="00ED0BB6" w:rsidRPr="00230E1C">
        <w:trPr>
          <w:trHeight w:val="679"/>
        </w:trPr>
        <w:tc>
          <w:tcPr>
            <w:tcW w:w="3506"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2"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5"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1641"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r>
      <w:tr w:rsidR="00ED0BB6" w:rsidRPr="00230E1C">
        <w:trPr>
          <w:trHeight w:val="679"/>
        </w:trPr>
        <w:tc>
          <w:tcPr>
            <w:tcW w:w="3506"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2"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5"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1641"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r>
      <w:tr w:rsidR="00ED0BB6" w:rsidRPr="00230E1C">
        <w:trPr>
          <w:trHeight w:val="679"/>
        </w:trPr>
        <w:tc>
          <w:tcPr>
            <w:tcW w:w="3506"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2"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5"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1641"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r>
      <w:tr w:rsidR="00ED0BB6" w:rsidRPr="00230E1C">
        <w:trPr>
          <w:trHeight w:val="679"/>
        </w:trPr>
        <w:tc>
          <w:tcPr>
            <w:tcW w:w="3506"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2"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5"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1641"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r>
      <w:tr w:rsidR="00ED0BB6" w:rsidRPr="00230E1C">
        <w:trPr>
          <w:trHeight w:val="679"/>
        </w:trPr>
        <w:tc>
          <w:tcPr>
            <w:tcW w:w="3506"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2"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5"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1641"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r>
      <w:tr w:rsidR="00ED0BB6" w:rsidRPr="00230E1C">
        <w:trPr>
          <w:trHeight w:val="679"/>
        </w:trPr>
        <w:tc>
          <w:tcPr>
            <w:tcW w:w="3506"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2"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5"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1641"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r>
      <w:tr w:rsidR="00ED0BB6" w:rsidRPr="00230E1C">
        <w:trPr>
          <w:trHeight w:val="679"/>
        </w:trPr>
        <w:tc>
          <w:tcPr>
            <w:tcW w:w="3506"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2"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5"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1641"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r>
      <w:tr w:rsidR="00ED0BB6" w:rsidRPr="00230E1C">
        <w:trPr>
          <w:trHeight w:val="679"/>
        </w:trPr>
        <w:tc>
          <w:tcPr>
            <w:tcW w:w="3506"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2"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5"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1641"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r>
      <w:tr w:rsidR="00ED0BB6" w:rsidRPr="00230E1C">
        <w:trPr>
          <w:trHeight w:val="679"/>
        </w:trPr>
        <w:tc>
          <w:tcPr>
            <w:tcW w:w="3506"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2"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5"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1641"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r>
      <w:tr w:rsidR="00ED0BB6" w:rsidRPr="00230E1C">
        <w:trPr>
          <w:trHeight w:val="679"/>
        </w:trPr>
        <w:tc>
          <w:tcPr>
            <w:tcW w:w="3506"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2"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5"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1641"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r>
      <w:tr w:rsidR="00ED0BB6" w:rsidRPr="00230E1C">
        <w:trPr>
          <w:trHeight w:val="679"/>
        </w:trPr>
        <w:tc>
          <w:tcPr>
            <w:tcW w:w="3506"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2"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5"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1641"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r>
      <w:tr w:rsidR="00ED0BB6" w:rsidRPr="00230E1C">
        <w:trPr>
          <w:trHeight w:val="679"/>
        </w:trPr>
        <w:tc>
          <w:tcPr>
            <w:tcW w:w="3506"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2"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5"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1641"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r>
      <w:tr w:rsidR="00ED0BB6" w:rsidRPr="00230E1C">
        <w:trPr>
          <w:trHeight w:val="679"/>
        </w:trPr>
        <w:tc>
          <w:tcPr>
            <w:tcW w:w="3506"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2"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5"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1641"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r>
      <w:tr w:rsidR="00ED0BB6" w:rsidRPr="00230E1C">
        <w:trPr>
          <w:trHeight w:val="679"/>
        </w:trPr>
        <w:tc>
          <w:tcPr>
            <w:tcW w:w="3506"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2"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4535"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c>
          <w:tcPr>
            <w:tcW w:w="1641" w:type="dxa"/>
            <w:tcBorders>
              <w:top w:val="nil"/>
              <w:left w:val="single" w:sz="4" w:space="0" w:color="00000A"/>
              <w:bottom w:val="single" w:sz="4" w:space="0" w:color="00000A"/>
              <w:right w:val="single" w:sz="4" w:space="0" w:color="00000A"/>
            </w:tcBorders>
            <w:shd w:val="clear" w:color="auto" w:fill="FFFFFF"/>
            <w:tcMar>
              <w:left w:w="98" w:type="dxa"/>
            </w:tcMar>
          </w:tcPr>
          <w:p w:rsidR="00ED0BB6" w:rsidRPr="00230E1C" w:rsidRDefault="00ED0BB6" w:rsidP="00423A50">
            <w:pPr>
              <w:spacing w:line="100" w:lineRule="atLeast"/>
              <w:jc w:val="both"/>
              <w:rPr>
                <w:szCs w:val="22"/>
              </w:rPr>
            </w:pPr>
          </w:p>
        </w:tc>
      </w:tr>
    </w:tbl>
    <w:p w:rsidR="00ED0BB6" w:rsidRPr="00230E1C" w:rsidRDefault="00ED0BB6" w:rsidP="00423A50">
      <w:pPr>
        <w:jc w:val="both"/>
        <w:rPr>
          <w:sz w:val="22"/>
          <w:szCs w:val="22"/>
        </w:rPr>
      </w:pPr>
      <w:bookmarkStart w:id="0" w:name="_GoBack"/>
      <w:bookmarkEnd w:id="0"/>
    </w:p>
    <w:sectPr w:rsidR="00ED0BB6" w:rsidRPr="00230E1C">
      <w:pgSz w:w="16838" w:h="11906" w:orient="landscape"/>
      <w:pgMar w:top="1418" w:right="1418" w:bottom="1134"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AR PL UMing HK">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96F"/>
    <w:multiLevelType w:val="multilevel"/>
    <w:tmpl w:val="18E42F94"/>
    <w:lvl w:ilvl="0">
      <w:start w:val="1"/>
      <w:numFmt w:val="bullet"/>
      <w:lvlText w:val=""/>
      <w:lvlJc w:val="left"/>
      <w:pPr>
        <w:ind w:left="754" w:hanging="360"/>
      </w:pPr>
      <w:rPr>
        <w:rFonts w:ascii="Symbol" w:hAnsi="Symbol" w:cs="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1">
    <w:nsid w:val="0B8A6479"/>
    <w:multiLevelType w:val="hybridMultilevel"/>
    <w:tmpl w:val="9E88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8162D"/>
    <w:multiLevelType w:val="hybridMultilevel"/>
    <w:tmpl w:val="E726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91FB7"/>
    <w:multiLevelType w:val="hybridMultilevel"/>
    <w:tmpl w:val="B65A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84C64"/>
    <w:multiLevelType w:val="hybridMultilevel"/>
    <w:tmpl w:val="C4C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D3C93"/>
    <w:multiLevelType w:val="hybridMultilevel"/>
    <w:tmpl w:val="07FE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A2390C"/>
    <w:multiLevelType w:val="multilevel"/>
    <w:tmpl w:val="7C9A7D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3DF203A"/>
    <w:multiLevelType w:val="multilevel"/>
    <w:tmpl w:val="2ED64E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F375D52"/>
    <w:multiLevelType w:val="hybridMultilevel"/>
    <w:tmpl w:val="94DA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09388A"/>
    <w:multiLevelType w:val="hybridMultilevel"/>
    <w:tmpl w:val="696C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92331"/>
    <w:multiLevelType w:val="hybridMultilevel"/>
    <w:tmpl w:val="7EF0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BC0942"/>
    <w:multiLevelType w:val="hybridMultilevel"/>
    <w:tmpl w:val="D918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EB1E99"/>
    <w:multiLevelType w:val="multilevel"/>
    <w:tmpl w:val="1988F6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B7707BD"/>
    <w:multiLevelType w:val="hybridMultilevel"/>
    <w:tmpl w:val="1DE0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8F0770"/>
    <w:multiLevelType w:val="multilevel"/>
    <w:tmpl w:val="1F5C74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2CF4E15"/>
    <w:multiLevelType w:val="hybridMultilevel"/>
    <w:tmpl w:val="6A6E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89302B"/>
    <w:multiLevelType w:val="multilevel"/>
    <w:tmpl w:val="5AFAA2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79034CF2"/>
    <w:multiLevelType w:val="multilevel"/>
    <w:tmpl w:val="651A08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7"/>
  </w:num>
  <w:num w:numId="3">
    <w:abstractNumId w:val="17"/>
  </w:num>
  <w:num w:numId="4">
    <w:abstractNumId w:val="0"/>
  </w:num>
  <w:num w:numId="5">
    <w:abstractNumId w:val="12"/>
  </w:num>
  <w:num w:numId="6">
    <w:abstractNumId w:val="6"/>
  </w:num>
  <w:num w:numId="7">
    <w:abstractNumId w:val="16"/>
  </w:num>
  <w:num w:numId="8">
    <w:abstractNumId w:val="2"/>
  </w:num>
  <w:num w:numId="9">
    <w:abstractNumId w:val="9"/>
  </w:num>
  <w:num w:numId="10">
    <w:abstractNumId w:val="1"/>
  </w:num>
  <w:num w:numId="11">
    <w:abstractNumId w:val="11"/>
  </w:num>
  <w:num w:numId="12">
    <w:abstractNumId w:val="3"/>
  </w:num>
  <w:num w:numId="13">
    <w:abstractNumId w:val="10"/>
  </w:num>
  <w:num w:numId="14">
    <w:abstractNumId w:val="13"/>
  </w:num>
  <w:num w:numId="15">
    <w:abstractNumId w:val="4"/>
  </w:num>
  <w:num w:numId="16">
    <w:abstractNumId w:val="5"/>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ED0BB6"/>
    <w:rsid w:val="00230E1C"/>
    <w:rsid w:val="00423A50"/>
    <w:rsid w:val="00885A83"/>
    <w:rsid w:val="00D30A78"/>
    <w:rsid w:val="00ED0BB6"/>
    <w:rsid w:val="00EF3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200"/>
    </w:pPr>
    <w:rPr>
      <w:rFonts w:ascii="Arial" w:eastAsia="Times New Roman" w:hAnsi="Arial" w:cs="Arial"/>
      <w:color w:val="00000A"/>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rPr>
      <w:rFonts w:ascii="Arial" w:hAnsi="Arial" w:cs="Arial"/>
      <w:sz w:val="24"/>
    </w:rPr>
  </w:style>
  <w:style w:type="character" w:customStyle="1" w:styleId="ListLabel1">
    <w:name w:val="ListLabel 1"/>
    <w:rPr>
      <w:rFonts w:cs="Courier New"/>
    </w:rPr>
  </w:style>
  <w:style w:type="character" w:customStyle="1" w:styleId="HeaderChar">
    <w:name w:val="Header Char"/>
    <w:basedOn w:val="DefaultParagraphFont"/>
    <w:link w:val="Header"/>
    <w:rsid w:val="00035BD2"/>
    <w:rPr>
      <w:rFonts w:ascii="Arial" w:eastAsia="Times New Roman" w:hAnsi="Arial" w:cs="Arial"/>
      <w:sz w:val="24"/>
      <w:szCs w:val="20"/>
      <w:lang w:eastAsia="zh-CN"/>
    </w:rPr>
  </w:style>
  <w:style w:type="character" w:customStyle="1" w:styleId="BalloonTextChar">
    <w:name w:val="Balloon Text Char"/>
    <w:basedOn w:val="DefaultParagraphFont"/>
    <w:link w:val="BalloonText"/>
    <w:rsid w:val="00035BD2"/>
    <w:rPr>
      <w:rFonts w:ascii="Tahoma" w:eastAsia="Times New Roman" w:hAnsi="Tahoma" w:cs="Tahoma"/>
      <w:sz w:val="16"/>
      <w:szCs w:val="16"/>
      <w:lang w:eastAsia="zh-CN"/>
    </w:rPr>
  </w:style>
  <w:style w:type="character" w:customStyle="1" w:styleId="FooterChar1">
    <w:name w:val="Footer Char1"/>
    <w:basedOn w:val="DefaultParagraphFont"/>
    <w:link w:val="Footer"/>
    <w:locked/>
    <w:rsid w:val="00035BD2"/>
    <w:rPr>
      <w:rFonts w:ascii="Arial" w:eastAsia="Times New Roman" w:hAnsi="Arial" w:cs="Arial"/>
      <w:sz w:val="24"/>
      <w:szCs w:val="20"/>
      <w:lang w:eastAsia="zh-CN"/>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paragraph" w:customStyle="1" w:styleId="Heading">
    <w:name w:val="Heading"/>
    <w:basedOn w:val="Normal"/>
    <w:next w:val="TextBody"/>
    <w:pPr>
      <w:keepNext/>
      <w:spacing w:before="240" w:after="120"/>
    </w:pPr>
    <w:rPr>
      <w:rFonts w:ascii="Liberation Sans" w:eastAsia="AR PL UMing HK" w:hAnsi="Liberation Sans" w:cs="Lohit Hindi"/>
      <w:sz w:val="28"/>
      <w:szCs w:val="28"/>
    </w:rPr>
  </w:style>
  <w:style w:type="paragraph" w:customStyle="1" w:styleId="TextBody">
    <w:name w:val="Text Body"/>
    <w:basedOn w:val="Normal"/>
    <w:pPr>
      <w:spacing w:after="120" w:line="288" w:lineRule="auto"/>
    </w:pPr>
  </w:style>
  <w:style w:type="paragraph" w:styleId="List">
    <w:name w:val="List"/>
    <w:basedOn w:val="TextBody"/>
    <w:rPr>
      <w:rFonts w:cs="Lohit Hindi"/>
    </w:rPr>
  </w:style>
  <w:style w:type="paragraph" w:styleId="Caption">
    <w:name w:val="caption"/>
    <w:basedOn w:val="Normal"/>
    <w:qFormat/>
    <w:pPr>
      <w:suppressLineNumbers/>
      <w:spacing w:before="120" w:after="120"/>
    </w:pPr>
    <w:rPr>
      <w:rFonts w:cs="Lohit Hindi"/>
      <w:i/>
      <w:iCs/>
      <w:szCs w:val="24"/>
    </w:rPr>
  </w:style>
  <w:style w:type="paragraph" w:customStyle="1" w:styleId="Index">
    <w:name w:val="Index"/>
    <w:basedOn w:val="Normal"/>
    <w:pPr>
      <w:suppressLineNumbers/>
    </w:pPr>
    <w:rPr>
      <w:rFonts w:cs="Lohit Hindi"/>
    </w:rPr>
  </w:style>
  <w:style w:type="paragraph" w:customStyle="1" w:styleId="TextBodyIndent">
    <w:name w:val="Text Body Indent"/>
    <w:basedOn w:val="Normal"/>
    <w:pPr>
      <w:ind w:left="2835"/>
    </w:pPr>
  </w:style>
  <w:style w:type="paragraph" w:styleId="Header">
    <w:name w:val="header"/>
    <w:basedOn w:val="Normal"/>
    <w:link w:val="HeaderChar"/>
    <w:pPr>
      <w:suppressLineNumbers/>
      <w:tabs>
        <w:tab w:val="center" w:pos="4153"/>
        <w:tab w:val="right" w:pos="8306"/>
      </w:tabs>
    </w:pPr>
  </w:style>
  <w:style w:type="paragraph" w:styleId="Footer">
    <w:name w:val="footer"/>
    <w:basedOn w:val="Normal"/>
    <w:link w:val="FooterChar1"/>
    <w:pPr>
      <w:suppressLineNumbers/>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University of Manchester</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Tanya Aspinall</cp:lastModifiedBy>
  <cp:revision>2</cp:revision>
  <cp:lastPrinted>2015-01-16T11:05:00Z</cp:lastPrinted>
  <dcterms:created xsi:type="dcterms:W3CDTF">2015-02-03T10:59:00Z</dcterms:created>
  <dcterms:modified xsi:type="dcterms:W3CDTF">2015-02-03T10:59:00Z</dcterms:modified>
  <dc:language>en-GB</dc:language>
</cp:coreProperties>
</file>