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C714F" w14:textId="77777777" w:rsidR="00584D45" w:rsidRDefault="00584D45" w:rsidP="00584D45">
      <w:pPr>
        <w:pStyle w:val="BodyTextIndent"/>
        <w:rPr>
          <w:sz w:val="32"/>
          <w:szCs w:val="32"/>
          <w:u w:val="single"/>
        </w:rPr>
      </w:pPr>
      <w:bookmarkStart w:id="0" w:name="_GoBack"/>
      <w:bookmarkEnd w:id="0"/>
      <w:r>
        <w:rPr>
          <w:b/>
          <w:bCs/>
          <w:sz w:val="32"/>
          <w:szCs w:val="32"/>
          <w:u w:val="single"/>
        </w:rPr>
        <w:t xml:space="preserve">Manchester Institute of Biotechnology </w:t>
      </w:r>
      <w:proofErr w:type="gramStart"/>
      <w:r>
        <w:rPr>
          <w:b/>
          <w:bCs/>
          <w:sz w:val="32"/>
          <w:szCs w:val="32"/>
          <w:u w:val="single"/>
        </w:rPr>
        <w:t>-  Risk</w:t>
      </w:r>
      <w:proofErr w:type="gramEnd"/>
      <w:r>
        <w:rPr>
          <w:b/>
          <w:bCs/>
          <w:sz w:val="32"/>
          <w:szCs w:val="32"/>
          <w:u w:val="single"/>
        </w:rPr>
        <w:t xml:space="preserve"> Assessment</w:t>
      </w:r>
    </w:p>
    <w:p w14:paraId="5663DDFB" w14:textId="77777777" w:rsidR="0005133D" w:rsidRDefault="00373B8D">
      <w:pPr>
        <w:pStyle w:val="BodyTextIndent"/>
      </w:pPr>
      <w:r>
        <w:rPr>
          <w:noProof/>
          <w:sz w:val="20"/>
          <w:lang w:eastAsia="en-GB"/>
        </w:rPr>
        <w:drawing>
          <wp:anchor distT="0" distB="0" distL="114300" distR="114300" simplePos="0" relativeHeight="251657728" behindDoc="1" locked="0" layoutInCell="1" allowOverlap="1" wp14:anchorId="06809A05" wp14:editId="0EA16898">
            <wp:simplePos x="0" y="0"/>
            <wp:positionH relativeFrom="page">
              <wp:posOffset>203200</wp:posOffset>
            </wp:positionH>
            <wp:positionV relativeFrom="page">
              <wp:posOffset>190500</wp:posOffset>
            </wp:positionV>
            <wp:extent cx="1116330" cy="1073785"/>
            <wp:effectExtent l="19050" t="0" r="762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srcRect/>
                    <a:stretch>
                      <a:fillRect/>
                    </a:stretch>
                  </pic:blipFill>
                  <pic:spPr bwMode="auto">
                    <a:xfrm>
                      <a:off x="0" y="0"/>
                      <a:ext cx="1116330" cy="1073785"/>
                    </a:xfrm>
                    <a:prstGeom prst="rect">
                      <a:avLst/>
                    </a:prstGeom>
                    <a:noFill/>
                    <a:ln w="9525">
                      <a:noFill/>
                      <a:miter lim="800000"/>
                      <a:headEnd/>
                      <a:tailEnd/>
                    </a:ln>
                  </pic:spPr>
                </pic:pic>
              </a:graphicData>
            </a:graphic>
          </wp:anchor>
        </w:drawing>
      </w:r>
    </w:p>
    <w:p w14:paraId="5047D0CE" w14:textId="77777777" w:rsidR="0020100F" w:rsidRDefault="0020100F">
      <w:pPr>
        <w:pStyle w:val="BodyTextIndent"/>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14:paraId="11C5D7AC" w14:textId="77777777" w:rsidTr="00584D45">
        <w:trPr>
          <w:cantSplit/>
          <w:trHeight w:val="861"/>
          <w:tblHeader/>
          <w:jc w:val="center"/>
        </w:trPr>
        <w:tc>
          <w:tcPr>
            <w:tcW w:w="1647" w:type="dxa"/>
            <w:tcBorders>
              <w:bottom w:val="single" w:sz="4" w:space="0" w:color="auto"/>
            </w:tcBorders>
            <w:shd w:val="clear" w:color="auto" w:fill="CCFFCC"/>
          </w:tcPr>
          <w:p w14:paraId="6E225AE1" w14:textId="77777777" w:rsidR="00FA141A" w:rsidRDefault="008F47E5">
            <w:pPr>
              <w:rPr>
                <w:color w:val="FF0000"/>
              </w:rPr>
            </w:pPr>
            <w:r>
              <w:t>Date:</w:t>
            </w:r>
            <w:r w:rsidR="00215AD4">
              <w:t xml:space="preserve"> </w:t>
            </w:r>
          </w:p>
          <w:p w14:paraId="37056718" w14:textId="6E200040" w:rsidR="008F47E5" w:rsidRPr="00FA141A" w:rsidRDefault="003044EB" w:rsidP="009E1BE5">
            <w:r>
              <w:t>Nov 2015</w:t>
            </w:r>
          </w:p>
        </w:tc>
        <w:tc>
          <w:tcPr>
            <w:tcW w:w="2285" w:type="dxa"/>
            <w:tcBorders>
              <w:bottom w:val="single" w:sz="4" w:space="0" w:color="auto"/>
            </w:tcBorders>
            <w:shd w:val="clear" w:color="auto" w:fill="CCFFCC"/>
          </w:tcPr>
          <w:p w14:paraId="6550D936" w14:textId="77777777" w:rsidR="008F47E5" w:rsidRDefault="008F47E5">
            <w:pPr>
              <w:rPr>
                <w:color w:val="FF0000"/>
              </w:rPr>
            </w:pPr>
            <w:r>
              <w:t>Assessed by:</w:t>
            </w:r>
            <w:r w:rsidR="002D7ABB">
              <w:t xml:space="preserve"> </w:t>
            </w:r>
          </w:p>
          <w:p w14:paraId="69A9D01F" w14:textId="12277261" w:rsidR="00CA2B83" w:rsidRDefault="00C66606" w:rsidP="00201DCF">
            <w:r>
              <w:t>Helen Toogood</w:t>
            </w:r>
          </w:p>
        </w:tc>
        <w:tc>
          <w:tcPr>
            <w:tcW w:w="2472" w:type="dxa"/>
            <w:tcBorders>
              <w:bottom w:val="single" w:sz="4" w:space="0" w:color="auto"/>
            </w:tcBorders>
            <w:shd w:val="clear" w:color="auto" w:fill="CCFFCC"/>
          </w:tcPr>
          <w:p w14:paraId="32A2177E" w14:textId="77777777" w:rsidR="008F47E5" w:rsidRDefault="00B613A2">
            <w:r>
              <w:t>Validated by:</w:t>
            </w:r>
            <w:r w:rsidR="002D7ABB">
              <w:t xml:space="preserve"> </w:t>
            </w:r>
          </w:p>
          <w:p w14:paraId="0F6C1BA3" w14:textId="0E5BAD9C" w:rsidR="00B613A2" w:rsidRDefault="00C66606">
            <w:r>
              <w:t>Tanya Aspinall</w:t>
            </w:r>
          </w:p>
        </w:tc>
        <w:tc>
          <w:tcPr>
            <w:tcW w:w="3082" w:type="dxa"/>
            <w:tcBorders>
              <w:bottom w:val="single" w:sz="4" w:space="0" w:color="auto"/>
            </w:tcBorders>
            <w:shd w:val="clear" w:color="auto" w:fill="CCFFCC"/>
          </w:tcPr>
          <w:p w14:paraId="416CEE0B" w14:textId="77777777" w:rsidR="008F47E5" w:rsidRDefault="008F47E5">
            <w:pPr>
              <w:rPr>
                <w:color w:val="FF0000"/>
              </w:rPr>
            </w:pPr>
            <w:r>
              <w:t xml:space="preserve">Location: </w:t>
            </w:r>
            <w:r w:rsidR="002D7ABB">
              <w:t xml:space="preserve"> </w:t>
            </w:r>
          </w:p>
          <w:p w14:paraId="0AF4EDD2" w14:textId="1CE9F183" w:rsidR="00B61984" w:rsidRDefault="005E35FF" w:rsidP="00655395">
            <w:r>
              <w:t>MIB Atr</w:t>
            </w:r>
            <w:r w:rsidR="00655395">
              <w:t>iu</w:t>
            </w:r>
            <w:r>
              <w:t>m</w:t>
            </w:r>
          </w:p>
        </w:tc>
        <w:tc>
          <w:tcPr>
            <w:tcW w:w="2650" w:type="dxa"/>
            <w:tcBorders>
              <w:bottom w:val="single" w:sz="4" w:space="0" w:color="auto"/>
            </w:tcBorders>
            <w:shd w:val="clear" w:color="auto" w:fill="CCFFCC"/>
          </w:tcPr>
          <w:p w14:paraId="71545240" w14:textId="77777777" w:rsidR="008F47E5" w:rsidRDefault="008F47E5">
            <w:r>
              <w:t>Assessment ref no</w:t>
            </w:r>
            <w:r w:rsidR="002D7ABB">
              <w:t xml:space="preserve"> </w:t>
            </w:r>
          </w:p>
        </w:tc>
        <w:tc>
          <w:tcPr>
            <w:tcW w:w="2039" w:type="dxa"/>
            <w:tcBorders>
              <w:bottom w:val="single" w:sz="4" w:space="0" w:color="auto"/>
            </w:tcBorders>
            <w:shd w:val="clear" w:color="auto" w:fill="CCFFCC"/>
          </w:tcPr>
          <w:p w14:paraId="4AE44D99" w14:textId="77777777" w:rsidR="008F47E5" w:rsidRDefault="008F47E5">
            <w:r>
              <w:t>Review date:</w:t>
            </w:r>
            <w:r w:rsidR="002D7ABB">
              <w:t xml:space="preserve"> </w:t>
            </w:r>
          </w:p>
          <w:p w14:paraId="3381B33C" w14:textId="5CB69B7F" w:rsidR="00066CE7" w:rsidRDefault="00C66606" w:rsidP="009E1BE5">
            <w:r>
              <w:t>Nov 2016</w:t>
            </w:r>
          </w:p>
        </w:tc>
      </w:tr>
      <w:tr w:rsidR="00B613A2" w14:paraId="27548A0E" w14:textId="77777777">
        <w:trPr>
          <w:cantSplit/>
          <w:tblHeader/>
          <w:jc w:val="center"/>
        </w:trPr>
        <w:tc>
          <w:tcPr>
            <w:tcW w:w="14175" w:type="dxa"/>
            <w:gridSpan w:val="6"/>
          </w:tcPr>
          <w:p w14:paraId="6DEF90E9" w14:textId="77777777" w:rsidR="00201DCF" w:rsidRDefault="0090353A">
            <w:pPr>
              <w:rPr>
                <w:sz w:val="22"/>
                <w:szCs w:val="22"/>
              </w:rPr>
            </w:pPr>
            <w:r>
              <w:rPr>
                <w:sz w:val="22"/>
                <w:szCs w:val="22"/>
              </w:rPr>
              <w:t>Task/Premises:</w:t>
            </w:r>
          </w:p>
          <w:tbl>
            <w:tblPr>
              <w:tblW w:w="0" w:type="auto"/>
              <w:tblBorders>
                <w:top w:val="nil"/>
                <w:left w:val="nil"/>
                <w:bottom w:val="nil"/>
                <w:right w:val="nil"/>
              </w:tblBorders>
              <w:tblLook w:val="0000" w:firstRow="0" w:lastRow="0" w:firstColumn="0" w:lastColumn="0" w:noHBand="0" w:noVBand="0"/>
            </w:tblPr>
            <w:tblGrid>
              <w:gridCol w:w="6918"/>
            </w:tblGrid>
            <w:tr w:rsidR="008808CA" w14:paraId="06ADEBEF" w14:textId="77777777">
              <w:trPr>
                <w:trHeight w:val="863"/>
              </w:trPr>
              <w:tc>
                <w:tcPr>
                  <w:tcW w:w="0" w:type="auto"/>
                </w:tcPr>
                <w:p w14:paraId="1A973A06" w14:textId="77777777" w:rsidR="008808CA" w:rsidRDefault="00B61984" w:rsidP="005E35FF">
                  <w:pPr>
                    <w:pStyle w:val="Default"/>
                    <w:rPr>
                      <w:sz w:val="22"/>
                      <w:szCs w:val="22"/>
                    </w:rPr>
                  </w:pPr>
                  <w:r>
                    <w:rPr>
                      <w:sz w:val="22"/>
                      <w:szCs w:val="22"/>
                    </w:rPr>
                    <w:t>Public engagement activity:</w:t>
                  </w:r>
                  <w:r w:rsidR="002D61F6">
                    <w:rPr>
                      <w:sz w:val="22"/>
                      <w:szCs w:val="22"/>
                    </w:rPr>
                    <w:t xml:space="preserve"> "</w:t>
                  </w:r>
                  <w:r w:rsidR="005E35FF">
                    <w:rPr>
                      <w:sz w:val="22"/>
                      <w:szCs w:val="22"/>
                    </w:rPr>
                    <w:t>MIB Open Day</w:t>
                  </w:r>
                  <w:r w:rsidR="002D61F6">
                    <w:rPr>
                      <w:sz w:val="22"/>
                      <w:szCs w:val="22"/>
                    </w:rPr>
                    <w:t>"</w:t>
                  </w:r>
                  <w:r w:rsidR="008808CA">
                    <w:rPr>
                      <w:sz w:val="22"/>
                      <w:szCs w:val="22"/>
                    </w:rPr>
                    <w:t xml:space="preserve"> </w:t>
                  </w:r>
                </w:p>
                <w:p w14:paraId="3699C9ED" w14:textId="77777777" w:rsidR="005E35FF" w:rsidRDefault="005E35FF" w:rsidP="00A52E4E">
                  <w:pPr>
                    <w:pStyle w:val="Default"/>
                    <w:rPr>
                      <w:sz w:val="22"/>
                      <w:szCs w:val="22"/>
                    </w:rPr>
                  </w:pPr>
                  <w:r>
                    <w:rPr>
                      <w:sz w:val="22"/>
                      <w:szCs w:val="22"/>
                    </w:rPr>
                    <w:t xml:space="preserve">Interactive Science Stands  - Stand Name: </w:t>
                  </w:r>
                  <w:r w:rsidR="009E1BE5">
                    <w:rPr>
                      <w:sz w:val="22"/>
                      <w:szCs w:val="22"/>
                    </w:rPr>
                    <w:t>Synthetic Biology</w:t>
                  </w:r>
                </w:p>
                <w:p w14:paraId="44E46975" w14:textId="7F7AF0BD" w:rsidR="00A52E4E" w:rsidRDefault="009E1BE5" w:rsidP="005E35FF">
                  <w:pPr>
                    <w:pStyle w:val="Default"/>
                    <w:rPr>
                      <w:sz w:val="22"/>
                      <w:szCs w:val="22"/>
                    </w:rPr>
                  </w:pPr>
                  <w:r>
                    <w:rPr>
                      <w:sz w:val="22"/>
                      <w:szCs w:val="22"/>
                    </w:rPr>
                    <w:t>Helen Toogood</w:t>
                  </w:r>
                  <w:r w:rsidR="008808CA">
                    <w:rPr>
                      <w:sz w:val="22"/>
                      <w:szCs w:val="22"/>
                    </w:rPr>
                    <w:t xml:space="preserve"> in overall charge. </w:t>
                  </w:r>
                </w:p>
                <w:p w14:paraId="09AE779D" w14:textId="77777777" w:rsidR="008808CA" w:rsidRDefault="00B61984" w:rsidP="005E35FF">
                  <w:pPr>
                    <w:pStyle w:val="Default"/>
                    <w:rPr>
                      <w:sz w:val="22"/>
                      <w:szCs w:val="22"/>
                    </w:rPr>
                  </w:pPr>
                  <w:r>
                    <w:rPr>
                      <w:sz w:val="22"/>
                      <w:szCs w:val="22"/>
                    </w:rPr>
                    <w:t>Volunteers</w:t>
                  </w:r>
                  <w:r w:rsidR="008808CA">
                    <w:rPr>
                      <w:sz w:val="22"/>
                      <w:szCs w:val="22"/>
                    </w:rPr>
                    <w:t xml:space="preserve"> involved in the session are ‘facilitators’ only. </w:t>
                  </w:r>
                </w:p>
                <w:p w14:paraId="052F67CE" w14:textId="77777777" w:rsidR="008808CA" w:rsidRDefault="008808CA" w:rsidP="006D7D89">
                  <w:pPr>
                    <w:pStyle w:val="Default"/>
                    <w:rPr>
                      <w:sz w:val="22"/>
                      <w:szCs w:val="22"/>
                    </w:rPr>
                  </w:pPr>
                  <w:r>
                    <w:rPr>
                      <w:sz w:val="22"/>
                      <w:szCs w:val="22"/>
                    </w:rPr>
                    <w:t xml:space="preserve">All accidents to be reported to a First Aider and reported accordingly. </w:t>
                  </w:r>
                </w:p>
              </w:tc>
            </w:tr>
          </w:tbl>
          <w:p w14:paraId="5940D5BD" w14:textId="77777777" w:rsidR="0005133D" w:rsidRPr="0020100F" w:rsidRDefault="0005133D" w:rsidP="009E1BE5">
            <w:pPr>
              <w:rPr>
                <w:sz w:val="22"/>
                <w:szCs w:val="22"/>
              </w:rPr>
            </w:pPr>
          </w:p>
        </w:tc>
      </w:tr>
    </w:tbl>
    <w:p w14:paraId="7140FF1E" w14:textId="77777777" w:rsidR="0020100F" w:rsidRDefault="0020100F"/>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20100F" w14:paraId="1CF8A14D" w14:textId="77777777" w:rsidTr="00584D45">
        <w:trPr>
          <w:cantSplit/>
          <w:tblHeader/>
          <w:jc w:val="center"/>
        </w:trPr>
        <w:tc>
          <w:tcPr>
            <w:tcW w:w="1936" w:type="dxa"/>
            <w:shd w:val="clear" w:color="auto" w:fill="CCFFCC"/>
          </w:tcPr>
          <w:p w14:paraId="65881F67" w14:textId="77777777" w:rsidR="0020100F" w:rsidRPr="0020100F" w:rsidRDefault="0020100F">
            <w:pPr>
              <w:rPr>
                <w:sz w:val="22"/>
                <w:szCs w:val="22"/>
              </w:rPr>
            </w:pPr>
            <w:r w:rsidRPr="0020100F">
              <w:rPr>
                <w:sz w:val="22"/>
                <w:szCs w:val="22"/>
              </w:rPr>
              <w:t>Activity</w:t>
            </w:r>
            <w:r w:rsidR="002D7ABB">
              <w:rPr>
                <w:sz w:val="22"/>
                <w:szCs w:val="22"/>
              </w:rPr>
              <w:t xml:space="preserve"> </w:t>
            </w:r>
          </w:p>
        </w:tc>
        <w:tc>
          <w:tcPr>
            <w:tcW w:w="1734" w:type="dxa"/>
            <w:shd w:val="clear" w:color="auto" w:fill="CCFFCC"/>
          </w:tcPr>
          <w:p w14:paraId="322995D9" w14:textId="77777777" w:rsidR="0020100F" w:rsidRPr="0020100F" w:rsidRDefault="0020100F">
            <w:pPr>
              <w:rPr>
                <w:sz w:val="22"/>
                <w:szCs w:val="22"/>
              </w:rPr>
            </w:pPr>
            <w:r w:rsidRPr="0020100F">
              <w:rPr>
                <w:sz w:val="22"/>
                <w:szCs w:val="22"/>
              </w:rPr>
              <w:t>Hazard</w:t>
            </w:r>
            <w:r w:rsidR="002D7ABB">
              <w:rPr>
                <w:sz w:val="22"/>
                <w:szCs w:val="22"/>
              </w:rPr>
              <w:t xml:space="preserve"> </w:t>
            </w:r>
          </w:p>
        </w:tc>
        <w:tc>
          <w:tcPr>
            <w:tcW w:w="1945" w:type="dxa"/>
            <w:shd w:val="clear" w:color="auto" w:fill="CCFFCC"/>
          </w:tcPr>
          <w:p w14:paraId="00668119" w14:textId="77777777" w:rsidR="0020100F" w:rsidRPr="0020100F" w:rsidRDefault="0020100F">
            <w:pPr>
              <w:rPr>
                <w:sz w:val="22"/>
                <w:szCs w:val="22"/>
              </w:rPr>
            </w:pPr>
            <w:r w:rsidRPr="0020100F">
              <w:rPr>
                <w:sz w:val="22"/>
                <w:szCs w:val="22"/>
              </w:rPr>
              <w:t>Person(s) in danger</w:t>
            </w:r>
            <w:r w:rsidR="002D7ABB">
              <w:rPr>
                <w:sz w:val="22"/>
                <w:szCs w:val="22"/>
              </w:rPr>
              <w:t xml:space="preserve"> </w:t>
            </w:r>
          </w:p>
        </w:tc>
        <w:tc>
          <w:tcPr>
            <w:tcW w:w="5470" w:type="dxa"/>
            <w:shd w:val="clear" w:color="auto" w:fill="CCFFCC"/>
          </w:tcPr>
          <w:p w14:paraId="777358B2" w14:textId="77777777" w:rsidR="0020100F" w:rsidRPr="0020100F" w:rsidRDefault="0020100F">
            <w:pPr>
              <w:rPr>
                <w:sz w:val="22"/>
                <w:szCs w:val="22"/>
              </w:rPr>
            </w:pPr>
            <w:r w:rsidRPr="0020100F">
              <w:rPr>
                <w:sz w:val="22"/>
                <w:szCs w:val="22"/>
              </w:rPr>
              <w:t>Existing measures to control risk</w:t>
            </w:r>
            <w:r w:rsidR="002D7ABB">
              <w:rPr>
                <w:sz w:val="22"/>
                <w:szCs w:val="22"/>
              </w:rPr>
              <w:t xml:space="preserve"> </w:t>
            </w:r>
          </w:p>
        </w:tc>
        <w:tc>
          <w:tcPr>
            <w:tcW w:w="2106" w:type="dxa"/>
            <w:shd w:val="clear" w:color="auto" w:fill="CCFFCC"/>
          </w:tcPr>
          <w:p w14:paraId="1F1EA2D9" w14:textId="77777777" w:rsidR="0020100F" w:rsidRPr="0020100F" w:rsidRDefault="00BD53AC">
            <w:pPr>
              <w:rPr>
                <w:sz w:val="22"/>
                <w:szCs w:val="22"/>
              </w:rPr>
            </w:pPr>
            <w:r>
              <w:rPr>
                <w:sz w:val="22"/>
                <w:szCs w:val="22"/>
              </w:rPr>
              <w:t>Risk rating</w:t>
            </w:r>
            <w:r w:rsidR="002D7ABB">
              <w:rPr>
                <w:sz w:val="22"/>
                <w:szCs w:val="22"/>
              </w:rPr>
              <w:t xml:space="preserve"> </w:t>
            </w:r>
          </w:p>
        </w:tc>
        <w:tc>
          <w:tcPr>
            <w:tcW w:w="984" w:type="dxa"/>
            <w:shd w:val="clear" w:color="auto" w:fill="CCFFCC"/>
          </w:tcPr>
          <w:p w14:paraId="755A1C32" w14:textId="77777777" w:rsidR="0020100F" w:rsidRPr="0020100F" w:rsidRDefault="0020100F" w:rsidP="00B613A2">
            <w:pPr>
              <w:jc w:val="center"/>
              <w:rPr>
                <w:sz w:val="22"/>
                <w:szCs w:val="22"/>
              </w:rPr>
            </w:pPr>
            <w:r w:rsidRPr="0020100F">
              <w:rPr>
                <w:sz w:val="22"/>
                <w:szCs w:val="22"/>
              </w:rPr>
              <w:t>Result</w:t>
            </w:r>
            <w:r w:rsidR="002D7ABB">
              <w:rPr>
                <w:sz w:val="22"/>
                <w:szCs w:val="22"/>
              </w:rPr>
              <w:t xml:space="preserve"> </w:t>
            </w:r>
          </w:p>
        </w:tc>
      </w:tr>
      <w:tr w:rsidR="0020100F" w:rsidRPr="0020100F" w14:paraId="13566509" w14:textId="77777777">
        <w:trPr>
          <w:cantSplit/>
          <w:jc w:val="center"/>
        </w:trPr>
        <w:tc>
          <w:tcPr>
            <w:tcW w:w="1936" w:type="dxa"/>
          </w:tcPr>
          <w:p w14:paraId="0950D99F" w14:textId="55E2F8D8" w:rsidR="002D7ABB" w:rsidRPr="0020100F" w:rsidRDefault="00655395" w:rsidP="00201DCF">
            <w:pPr>
              <w:rPr>
                <w:sz w:val="22"/>
                <w:szCs w:val="22"/>
              </w:rPr>
            </w:pPr>
            <w:r>
              <w:rPr>
                <w:sz w:val="22"/>
                <w:szCs w:val="22"/>
              </w:rPr>
              <w:t>Handling essential oils</w:t>
            </w:r>
          </w:p>
        </w:tc>
        <w:tc>
          <w:tcPr>
            <w:tcW w:w="1734" w:type="dxa"/>
          </w:tcPr>
          <w:p w14:paraId="11C6B39C" w14:textId="32E24803" w:rsidR="00655395" w:rsidRDefault="00655395" w:rsidP="00655395">
            <w:pPr>
              <w:rPr>
                <w:sz w:val="22"/>
                <w:szCs w:val="22"/>
              </w:rPr>
            </w:pPr>
            <w:r w:rsidRPr="00814CDB">
              <w:rPr>
                <w:sz w:val="22"/>
                <w:szCs w:val="22"/>
              </w:rPr>
              <w:t>Potential irritant (low</w:t>
            </w:r>
            <w:r>
              <w:rPr>
                <w:sz w:val="22"/>
                <w:szCs w:val="22"/>
              </w:rPr>
              <w:t>-high</w:t>
            </w:r>
            <w:r w:rsidRPr="00814CDB">
              <w:rPr>
                <w:sz w:val="22"/>
                <w:szCs w:val="22"/>
              </w:rPr>
              <w:t xml:space="preserve"> risk)</w:t>
            </w:r>
          </w:p>
          <w:p w14:paraId="7DB969A5" w14:textId="77777777" w:rsidR="0020100F" w:rsidRPr="0020100F" w:rsidRDefault="0020100F" w:rsidP="002D7ABB">
            <w:pPr>
              <w:rPr>
                <w:sz w:val="22"/>
                <w:szCs w:val="22"/>
              </w:rPr>
            </w:pPr>
          </w:p>
        </w:tc>
        <w:tc>
          <w:tcPr>
            <w:tcW w:w="1945" w:type="dxa"/>
          </w:tcPr>
          <w:p w14:paraId="4D16EAAF" w14:textId="280A6C1C" w:rsidR="00201DCF" w:rsidRPr="0020100F" w:rsidRDefault="00655395" w:rsidP="00201DCF">
            <w:pPr>
              <w:rPr>
                <w:sz w:val="22"/>
                <w:szCs w:val="22"/>
              </w:rPr>
            </w:pPr>
            <w:r>
              <w:rPr>
                <w:sz w:val="22"/>
                <w:szCs w:val="22"/>
              </w:rPr>
              <w:t>Participants and facilitators</w:t>
            </w:r>
          </w:p>
        </w:tc>
        <w:tc>
          <w:tcPr>
            <w:tcW w:w="5470" w:type="dxa"/>
          </w:tcPr>
          <w:p w14:paraId="60F6AC43" w14:textId="77777777" w:rsidR="0020100F" w:rsidRDefault="00655395" w:rsidP="00655395">
            <w:pPr>
              <w:rPr>
                <w:sz w:val="22"/>
                <w:szCs w:val="22"/>
              </w:rPr>
            </w:pPr>
            <w:r>
              <w:rPr>
                <w:sz w:val="22"/>
                <w:szCs w:val="22"/>
              </w:rPr>
              <w:t>1. The essential oils and component chemicals may present a hazard if swallowed or by over-inhalation. Participants and facilitators will only be allowed to briefly smell the scent of the chemicals.</w:t>
            </w:r>
          </w:p>
          <w:p w14:paraId="03360C47" w14:textId="58D62F43" w:rsidR="00655395" w:rsidRPr="0020100F" w:rsidRDefault="00655395" w:rsidP="00655395">
            <w:pPr>
              <w:rPr>
                <w:sz w:val="22"/>
                <w:szCs w:val="22"/>
              </w:rPr>
            </w:pPr>
            <w:r>
              <w:rPr>
                <w:sz w:val="22"/>
                <w:szCs w:val="22"/>
              </w:rPr>
              <w:t>2. Participants will be asked if they suffer from an allergy to the essential oils/components of peppermint, spearmint and vanillin. Any participant who indicates they have an allergy will be informed that these substances are in the general area and they will be advised it is in their best interests to skip this stand and wait outside the atrium. A member of staff should supervise them outside the atrium, and inform a first aider if illness is suspected.</w:t>
            </w:r>
          </w:p>
        </w:tc>
        <w:tc>
          <w:tcPr>
            <w:tcW w:w="2106" w:type="dxa"/>
          </w:tcPr>
          <w:p w14:paraId="4B81A4F5" w14:textId="77777777" w:rsidR="008808CA" w:rsidRDefault="008808CA" w:rsidP="008808CA">
            <w:pPr>
              <w:pStyle w:val="Default"/>
            </w:pPr>
          </w:p>
          <w:tbl>
            <w:tblPr>
              <w:tblW w:w="1993" w:type="dxa"/>
              <w:tblBorders>
                <w:top w:val="nil"/>
                <w:left w:val="nil"/>
                <w:bottom w:val="nil"/>
                <w:right w:val="nil"/>
              </w:tblBorders>
              <w:tblLayout w:type="fixed"/>
              <w:tblLook w:val="0000" w:firstRow="0" w:lastRow="0" w:firstColumn="0" w:lastColumn="0" w:noHBand="0" w:noVBand="0"/>
            </w:tblPr>
            <w:tblGrid>
              <w:gridCol w:w="1993"/>
            </w:tblGrid>
            <w:tr w:rsidR="008808CA" w14:paraId="32F654F0" w14:textId="77777777" w:rsidTr="008808CA">
              <w:trPr>
                <w:trHeight w:val="111"/>
              </w:trPr>
              <w:tc>
                <w:tcPr>
                  <w:tcW w:w="1993" w:type="dxa"/>
                </w:tcPr>
                <w:p w14:paraId="47A22871" w14:textId="77777777" w:rsidR="008808CA" w:rsidRDefault="008808CA">
                  <w:pPr>
                    <w:pStyle w:val="Default"/>
                    <w:rPr>
                      <w:sz w:val="22"/>
                      <w:szCs w:val="22"/>
                    </w:rPr>
                  </w:pPr>
                  <w:r>
                    <w:t xml:space="preserve"> </w:t>
                  </w:r>
                  <w:r>
                    <w:rPr>
                      <w:sz w:val="22"/>
                      <w:szCs w:val="22"/>
                    </w:rPr>
                    <w:t xml:space="preserve">Low risk </w:t>
                  </w:r>
                </w:p>
              </w:tc>
            </w:tr>
          </w:tbl>
          <w:p w14:paraId="2F254585" w14:textId="77777777" w:rsidR="0020100F" w:rsidRPr="0020100F" w:rsidRDefault="0020100F">
            <w:pPr>
              <w:rPr>
                <w:sz w:val="22"/>
                <w:szCs w:val="22"/>
              </w:rPr>
            </w:pPr>
          </w:p>
        </w:tc>
        <w:tc>
          <w:tcPr>
            <w:tcW w:w="984"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8808CA" w14:paraId="5233DB00" w14:textId="77777777" w:rsidTr="006D7D89">
              <w:trPr>
                <w:trHeight w:val="103"/>
              </w:trPr>
              <w:tc>
                <w:tcPr>
                  <w:tcW w:w="236" w:type="dxa"/>
                </w:tcPr>
                <w:p w14:paraId="43E8B9FC" w14:textId="77777777" w:rsidR="008808CA" w:rsidRDefault="008808CA">
                  <w:pPr>
                    <w:pStyle w:val="Default"/>
                    <w:rPr>
                      <w:sz w:val="22"/>
                      <w:szCs w:val="22"/>
                    </w:rPr>
                  </w:pPr>
                  <w:r>
                    <w:t xml:space="preserve"> </w:t>
                  </w:r>
                  <w:r>
                    <w:rPr>
                      <w:sz w:val="22"/>
                      <w:szCs w:val="22"/>
                    </w:rPr>
                    <w:t xml:space="preserve">T </w:t>
                  </w:r>
                </w:p>
              </w:tc>
            </w:tr>
          </w:tbl>
          <w:p w14:paraId="2A6582C4" w14:textId="77777777" w:rsidR="0020100F" w:rsidRPr="0020100F" w:rsidRDefault="0020100F" w:rsidP="00B613A2">
            <w:pPr>
              <w:jc w:val="center"/>
              <w:rPr>
                <w:sz w:val="22"/>
                <w:szCs w:val="22"/>
              </w:rPr>
            </w:pPr>
          </w:p>
        </w:tc>
      </w:tr>
      <w:tr w:rsidR="003C3EC9" w:rsidRPr="0020100F" w14:paraId="1ED6606E" w14:textId="77777777">
        <w:trPr>
          <w:cantSplit/>
          <w:trHeight w:val="1098"/>
          <w:jc w:val="center"/>
        </w:trPr>
        <w:tc>
          <w:tcPr>
            <w:tcW w:w="1936" w:type="dxa"/>
          </w:tcPr>
          <w:p w14:paraId="746EB6D9" w14:textId="363D4F07" w:rsidR="003C3EC9" w:rsidRPr="003C3EC9" w:rsidRDefault="003C3EC9" w:rsidP="005E35FF">
            <w:pPr>
              <w:rPr>
                <w:rFonts w:ascii="Tahoma" w:hAnsi="Tahoma" w:cs="Tahoma"/>
                <w:sz w:val="22"/>
                <w:szCs w:val="22"/>
              </w:rPr>
            </w:pPr>
            <w:r w:rsidRPr="003C3EC9">
              <w:rPr>
                <w:rFonts w:ascii="Tahoma" w:hAnsi="Tahoma" w:cs="Tahoma"/>
                <w:sz w:val="22"/>
                <w:szCs w:val="22"/>
              </w:rPr>
              <w:lastRenderedPageBreak/>
              <w:t>Chemical spillage</w:t>
            </w:r>
          </w:p>
        </w:tc>
        <w:tc>
          <w:tcPr>
            <w:tcW w:w="1734" w:type="dxa"/>
          </w:tcPr>
          <w:p w14:paraId="0E5E2643" w14:textId="77777777" w:rsidR="003C3EC9" w:rsidRDefault="003C3EC9" w:rsidP="003C3EC9">
            <w:pPr>
              <w:rPr>
                <w:sz w:val="22"/>
                <w:szCs w:val="22"/>
              </w:rPr>
            </w:pPr>
            <w:r w:rsidRPr="00814CDB">
              <w:rPr>
                <w:sz w:val="22"/>
                <w:szCs w:val="22"/>
              </w:rPr>
              <w:t>Potential irritant (low</w:t>
            </w:r>
            <w:r>
              <w:rPr>
                <w:sz w:val="22"/>
                <w:szCs w:val="22"/>
              </w:rPr>
              <w:t>-high</w:t>
            </w:r>
            <w:r w:rsidRPr="00814CDB">
              <w:rPr>
                <w:sz w:val="22"/>
                <w:szCs w:val="22"/>
              </w:rPr>
              <w:t xml:space="preserve"> risk)</w:t>
            </w:r>
          </w:p>
          <w:p w14:paraId="5669A5F5" w14:textId="77777777" w:rsidR="003C3EC9" w:rsidRPr="003C3EC9" w:rsidRDefault="003C3EC9" w:rsidP="005E35FF">
            <w:pPr>
              <w:rPr>
                <w:rFonts w:ascii="Tahoma" w:hAnsi="Tahoma" w:cs="Tahoma"/>
                <w:sz w:val="22"/>
                <w:szCs w:val="22"/>
              </w:rPr>
            </w:pPr>
          </w:p>
        </w:tc>
        <w:tc>
          <w:tcPr>
            <w:tcW w:w="1945" w:type="dxa"/>
          </w:tcPr>
          <w:p w14:paraId="2E107D0D" w14:textId="78176FD8" w:rsidR="003C3EC9" w:rsidRPr="003C3EC9" w:rsidRDefault="003C3EC9" w:rsidP="005E35FF">
            <w:pPr>
              <w:rPr>
                <w:rFonts w:ascii="Tahoma" w:hAnsi="Tahoma" w:cs="Tahoma"/>
                <w:sz w:val="22"/>
                <w:szCs w:val="22"/>
              </w:rPr>
            </w:pPr>
            <w:r>
              <w:rPr>
                <w:sz w:val="22"/>
                <w:szCs w:val="22"/>
              </w:rPr>
              <w:t>Participants and facilitators</w:t>
            </w:r>
          </w:p>
        </w:tc>
        <w:tc>
          <w:tcPr>
            <w:tcW w:w="5470" w:type="dxa"/>
          </w:tcPr>
          <w:p w14:paraId="499A156B" w14:textId="4F1DB984" w:rsidR="003C3EC9" w:rsidRPr="003C3EC9" w:rsidRDefault="003C3EC9" w:rsidP="005E35FF">
            <w:pPr>
              <w:rPr>
                <w:rFonts w:ascii="Tahoma" w:hAnsi="Tahoma" w:cs="Tahoma"/>
                <w:sz w:val="22"/>
                <w:szCs w:val="22"/>
              </w:rPr>
            </w:pPr>
            <w:r>
              <w:rPr>
                <w:rFonts w:ascii="Tahoma" w:hAnsi="Tahoma" w:cs="Tahoma"/>
                <w:sz w:val="22"/>
                <w:szCs w:val="22"/>
              </w:rPr>
              <w:t>If a spillage of one of the chemicals occurs, a non-toxic odour is likely to pervade the atrium. The facilitators will mop up the spill with paper towels, wearing gloves. Any affected materials (e.g. tablecloth) will be removed from the atrium if the level of odour is significant and any of the participants/facilitators suffers any adverse affect to the odour.</w:t>
            </w:r>
          </w:p>
        </w:tc>
        <w:tc>
          <w:tcPr>
            <w:tcW w:w="2106" w:type="dxa"/>
          </w:tcPr>
          <w:p w14:paraId="38F6743A" w14:textId="77777777" w:rsidR="003C3EC9" w:rsidRDefault="003C3EC9" w:rsidP="006B66A1">
            <w:pPr>
              <w:pStyle w:val="Default"/>
            </w:pPr>
          </w:p>
          <w:tbl>
            <w:tblPr>
              <w:tblW w:w="1993" w:type="dxa"/>
              <w:tblBorders>
                <w:top w:val="nil"/>
                <w:left w:val="nil"/>
                <w:bottom w:val="nil"/>
                <w:right w:val="nil"/>
              </w:tblBorders>
              <w:tblLayout w:type="fixed"/>
              <w:tblLook w:val="0000" w:firstRow="0" w:lastRow="0" w:firstColumn="0" w:lastColumn="0" w:noHBand="0" w:noVBand="0"/>
            </w:tblPr>
            <w:tblGrid>
              <w:gridCol w:w="1993"/>
            </w:tblGrid>
            <w:tr w:rsidR="003C3EC9" w14:paraId="5DEEAEF4" w14:textId="77777777" w:rsidTr="006B66A1">
              <w:trPr>
                <w:trHeight w:val="111"/>
              </w:trPr>
              <w:tc>
                <w:tcPr>
                  <w:tcW w:w="1993" w:type="dxa"/>
                </w:tcPr>
                <w:p w14:paraId="61D5B0DB" w14:textId="77777777" w:rsidR="003C3EC9" w:rsidRDefault="003C3EC9" w:rsidP="006B66A1">
                  <w:pPr>
                    <w:pStyle w:val="Default"/>
                    <w:rPr>
                      <w:sz w:val="22"/>
                      <w:szCs w:val="22"/>
                    </w:rPr>
                  </w:pPr>
                  <w:r>
                    <w:t xml:space="preserve"> </w:t>
                  </w:r>
                  <w:r>
                    <w:rPr>
                      <w:sz w:val="22"/>
                      <w:szCs w:val="22"/>
                    </w:rPr>
                    <w:t xml:space="preserve">Low risk </w:t>
                  </w:r>
                </w:p>
              </w:tc>
            </w:tr>
          </w:tbl>
          <w:p w14:paraId="37347E77" w14:textId="77777777" w:rsidR="003C3EC9" w:rsidRPr="005E35FF" w:rsidRDefault="003C3EC9" w:rsidP="005E35FF">
            <w:pPr>
              <w:rPr>
                <w:rFonts w:ascii="Tahoma" w:hAnsi="Tahoma" w:cs="Tahoma"/>
                <w:sz w:val="22"/>
                <w:szCs w:val="22"/>
              </w:rPr>
            </w:pPr>
          </w:p>
        </w:tc>
        <w:tc>
          <w:tcPr>
            <w:tcW w:w="984"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3C3EC9" w14:paraId="1BCAD36D" w14:textId="77777777" w:rsidTr="006B66A1">
              <w:trPr>
                <w:trHeight w:val="103"/>
              </w:trPr>
              <w:tc>
                <w:tcPr>
                  <w:tcW w:w="236" w:type="dxa"/>
                </w:tcPr>
                <w:p w14:paraId="28BAA7F9" w14:textId="77777777" w:rsidR="003C3EC9" w:rsidRDefault="003C3EC9" w:rsidP="006B66A1">
                  <w:pPr>
                    <w:pStyle w:val="Default"/>
                    <w:rPr>
                      <w:sz w:val="22"/>
                      <w:szCs w:val="22"/>
                    </w:rPr>
                  </w:pPr>
                  <w:r>
                    <w:t xml:space="preserve"> </w:t>
                  </w:r>
                  <w:r>
                    <w:rPr>
                      <w:sz w:val="22"/>
                      <w:szCs w:val="22"/>
                    </w:rPr>
                    <w:t xml:space="preserve">T </w:t>
                  </w:r>
                </w:p>
              </w:tc>
            </w:tr>
          </w:tbl>
          <w:p w14:paraId="73E477D7" w14:textId="77777777" w:rsidR="003C3EC9" w:rsidRPr="005E35FF" w:rsidRDefault="003C3EC9" w:rsidP="005E35FF">
            <w:pPr>
              <w:rPr>
                <w:rFonts w:ascii="Tahoma" w:hAnsi="Tahoma" w:cs="Tahoma"/>
                <w:sz w:val="22"/>
                <w:szCs w:val="22"/>
              </w:rPr>
            </w:pPr>
          </w:p>
        </w:tc>
      </w:tr>
    </w:tbl>
    <w:p w14:paraId="7EF7E106" w14:textId="41F794FB" w:rsidR="003044EB" w:rsidRDefault="003044EB" w:rsidP="00584D45">
      <w:pPr>
        <w:tabs>
          <w:tab w:val="num" w:pos="567"/>
        </w:tabs>
        <w:rPr>
          <w:sz w:val="22"/>
          <w:szCs w:val="22"/>
        </w:rPr>
      </w:pPr>
    </w:p>
    <w:sectPr w:rsidR="003044EB" w:rsidSect="005E35F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4F52" w14:textId="77777777" w:rsidR="00E80A3C" w:rsidRDefault="00E80A3C">
      <w:r>
        <w:separator/>
      </w:r>
    </w:p>
  </w:endnote>
  <w:endnote w:type="continuationSeparator" w:id="0">
    <w:p w14:paraId="6AA719EA" w14:textId="77777777" w:rsidR="00E80A3C" w:rsidRDefault="00E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3A3A" w14:textId="77777777" w:rsidR="00E80A3C" w:rsidRDefault="00E80A3C">
      <w:r>
        <w:separator/>
      </w:r>
    </w:p>
  </w:footnote>
  <w:footnote w:type="continuationSeparator" w:id="0">
    <w:p w14:paraId="486596FD" w14:textId="77777777" w:rsidR="00E80A3C" w:rsidRDefault="00E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42441"/>
    <w:rsid w:val="0005133D"/>
    <w:rsid w:val="00066CE7"/>
    <w:rsid w:val="000A486F"/>
    <w:rsid w:val="000A501D"/>
    <w:rsid w:val="000C1666"/>
    <w:rsid w:val="000F0D4D"/>
    <w:rsid w:val="001C5F44"/>
    <w:rsid w:val="001D5D34"/>
    <w:rsid w:val="001D75FC"/>
    <w:rsid w:val="0020100F"/>
    <w:rsid w:val="00201DCF"/>
    <w:rsid w:val="00215AD4"/>
    <w:rsid w:val="002D61F6"/>
    <w:rsid w:val="002D7ABB"/>
    <w:rsid w:val="003044EB"/>
    <w:rsid w:val="00364B84"/>
    <w:rsid w:val="00370467"/>
    <w:rsid w:val="00373B8D"/>
    <w:rsid w:val="003C3EC9"/>
    <w:rsid w:val="003E0B63"/>
    <w:rsid w:val="004F0312"/>
    <w:rsid w:val="004F2E2F"/>
    <w:rsid w:val="00544247"/>
    <w:rsid w:val="0054439C"/>
    <w:rsid w:val="00584D45"/>
    <w:rsid w:val="005C135F"/>
    <w:rsid w:val="005D7760"/>
    <w:rsid w:val="005E35FF"/>
    <w:rsid w:val="005E68E8"/>
    <w:rsid w:val="00601544"/>
    <w:rsid w:val="00644F52"/>
    <w:rsid w:val="00655395"/>
    <w:rsid w:val="00685AB2"/>
    <w:rsid w:val="006B6093"/>
    <w:rsid w:val="006D7D89"/>
    <w:rsid w:val="006E1EA4"/>
    <w:rsid w:val="00745E7F"/>
    <w:rsid w:val="00791668"/>
    <w:rsid w:val="00831B5F"/>
    <w:rsid w:val="00856A77"/>
    <w:rsid w:val="0088074C"/>
    <w:rsid w:val="008808CA"/>
    <w:rsid w:val="008E5DDB"/>
    <w:rsid w:val="008F47E5"/>
    <w:rsid w:val="008F4FB3"/>
    <w:rsid w:val="0090353A"/>
    <w:rsid w:val="00945D8B"/>
    <w:rsid w:val="00964569"/>
    <w:rsid w:val="00975B47"/>
    <w:rsid w:val="009A355D"/>
    <w:rsid w:val="009E0F87"/>
    <w:rsid w:val="009E1BE5"/>
    <w:rsid w:val="00A17849"/>
    <w:rsid w:val="00A52E4E"/>
    <w:rsid w:val="00AE1A75"/>
    <w:rsid w:val="00B35E07"/>
    <w:rsid w:val="00B60C69"/>
    <w:rsid w:val="00B613A2"/>
    <w:rsid w:val="00B61984"/>
    <w:rsid w:val="00BC140C"/>
    <w:rsid w:val="00BC1788"/>
    <w:rsid w:val="00BD53AC"/>
    <w:rsid w:val="00BF60C4"/>
    <w:rsid w:val="00C30B42"/>
    <w:rsid w:val="00C5528E"/>
    <w:rsid w:val="00C66350"/>
    <w:rsid w:val="00C66606"/>
    <w:rsid w:val="00C8567C"/>
    <w:rsid w:val="00CA2B83"/>
    <w:rsid w:val="00CC6F70"/>
    <w:rsid w:val="00CE18DD"/>
    <w:rsid w:val="00D06A9F"/>
    <w:rsid w:val="00D0739C"/>
    <w:rsid w:val="00D30F1A"/>
    <w:rsid w:val="00D7035A"/>
    <w:rsid w:val="00D75F63"/>
    <w:rsid w:val="00D918D8"/>
    <w:rsid w:val="00DA61FD"/>
    <w:rsid w:val="00DB7477"/>
    <w:rsid w:val="00E01D5E"/>
    <w:rsid w:val="00E3654D"/>
    <w:rsid w:val="00E650BA"/>
    <w:rsid w:val="00E80A3C"/>
    <w:rsid w:val="00EB3BD9"/>
    <w:rsid w:val="00ED157E"/>
    <w:rsid w:val="00F13C72"/>
    <w:rsid w:val="00FA141A"/>
    <w:rsid w:val="00FC10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760"/>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7760"/>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paragraph" w:customStyle="1" w:styleId="Default">
    <w:name w:val="Default"/>
    <w:rsid w:val="008808CA"/>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584D45"/>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760"/>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7760"/>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paragraph" w:customStyle="1" w:styleId="Default">
    <w:name w:val="Default"/>
    <w:rsid w:val="008808CA"/>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584D45"/>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2014-10-29T12:15:00Z</cp:lastPrinted>
  <dcterms:created xsi:type="dcterms:W3CDTF">2016-02-25T13:59:00Z</dcterms:created>
  <dcterms:modified xsi:type="dcterms:W3CDTF">2016-02-25T13:59:00Z</dcterms:modified>
</cp:coreProperties>
</file>