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689"/>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50"/>
      </w:tblGrid>
      <w:tr w:rsidR="007C1ACE" w:rsidRPr="00A463EB" w:rsidTr="006827C2">
        <w:trPr>
          <w:cantSplit/>
          <w:tblHeader/>
        </w:trPr>
        <w:tc>
          <w:tcPr>
            <w:tcW w:w="14850" w:type="dxa"/>
            <w:tcBorders>
              <w:bottom w:val="single" w:sz="4" w:space="0" w:color="auto"/>
            </w:tcBorders>
          </w:tcPr>
          <w:p w:rsidR="007C1ACE" w:rsidRPr="006827C2" w:rsidRDefault="007C1ACE" w:rsidP="006827C2">
            <w:pPr>
              <w:jc w:val="both"/>
              <w:rPr>
                <w:b/>
                <w:szCs w:val="24"/>
              </w:rPr>
            </w:pPr>
            <w:r w:rsidRPr="006827C2">
              <w:rPr>
                <w:b/>
                <w:szCs w:val="24"/>
              </w:rPr>
              <w:t xml:space="preserve">Task / premises: </w:t>
            </w:r>
          </w:p>
          <w:p w:rsidR="00A463EB" w:rsidRPr="006827C2" w:rsidRDefault="007C1ACE" w:rsidP="006827C2">
            <w:pPr>
              <w:jc w:val="both"/>
              <w:rPr>
                <w:szCs w:val="24"/>
              </w:rPr>
            </w:pPr>
            <w:r w:rsidRPr="006827C2">
              <w:rPr>
                <w:szCs w:val="24"/>
              </w:rPr>
              <w:t>Visit of</w:t>
            </w:r>
            <w:r w:rsidR="0095123E">
              <w:rPr>
                <w:szCs w:val="24"/>
              </w:rPr>
              <w:t xml:space="preserve"> </w:t>
            </w:r>
            <w:r w:rsidR="00A463EB" w:rsidRPr="006827C2">
              <w:rPr>
                <w:szCs w:val="24"/>
              </w:rPr>
              <w:t>AS/A level students (plus School/College supervisor) to the MIB</w:t>
            </w:r>
            <w:r w:rsidRPr="006827C2">
              <w:rPr>
                <w:szCs w:val="24"/>
              </w:rPr>
              <w:t xml:space="preserve"> </w:t>
            </w:r>
            <w:r w:rsidR="00A463EB" w:rsidRPr="006827C2">
              <w:rPr>
                <w:szCs w:val="24"/>
              </w:rPr>
              <w:t>for an open day</w:t>
            </w:r>
            <w:r w:rsidRPr="006827C2">
              <w:rPr>
                <w:szCs w:val="24"/>
              </w:rPr>
              <w:t xml:space="preserve">.  </w:t>
            </w:r>
            <w:r w:rsidR="00A463EB" w:rsidRPr="006827C2">
              <w:rPr>
                <w:szCs w:val="24"/>
              </w:rPr>
              <w:t xml:space="preserve">Please see </w:t>
            </w:r>
            <w:r w:rsidR="00B12067">
              <w:rPr>
                <w:szCs w:val="24"/>
              </w:rPr>
              <w:t xml:space="preserve">additional documentation </w:t>
            </w:r>
            <w:r w:rsidR="00A463EB" w:rsidRPr="006827C2">
              <w:rPr>
                <w:szCs w:val="24"/>
              </w:rPr>
              <w:t>for details of open day organiser (referred to as “University Organiser”), key contacts, key responsibilities and open day timetable.</w:t>
            </w:r>
          </w:p>
          <w:p w:rsidR="00A463EB" w:rsidRPr="006827C2" w:rsidRDefault="00A463EB" w:rsidP="006827C2">
            <w:pPr>
              <w:jc w:val="both"/>
              <w:rPr>
                <w:szCs w:val="24"/>
              </w:rPr>
            </w:pPr>
          </w:p>
          <w:p w:rsidR="00A463EB" w:rsidRPr="006827C2" w:rsidRDefault="00A463EB" w:rsidP="006827C2">
            <w:pPr>
              <w:jc w:val="both"/>
              <w:rPr>
                <w:szCs w:val="24"/>
              </w:rPr>
            </w:pPr>
            <w:r w:rsidRPr="006827C2">
              <w:rPr>
                <w:szCs w:val="24"/>
              </w:rPr>
              <w:t>All visitors will be over the age of 16, and will be supervised by a responsible adult (referred to as “Visitors Organiser) from their School/College. It is assumed that all of the AS/A level students will have worked in a lab at their relevant School/College, so will be familiar with the inherent risks associated with entering a research laboratory.</w:t>
            </w:r>
          </w:p>
          <w:p w:rsidR="007C1ACE" w:rsidRPr="006827C2" w:rsidRDefault="007C1ACE" w:rsidP="006827C2">
            <w:pPr>
              <w:jc w:val="both"/>
              <w:rPr>
                <w:szCs w:val="24"/>
              </w:rPr>
            </w:pPr>
          </w:p>
          <w:p w:rsidR="007C1ACE" w:rsidRDefault="007C1ACE" w:rsidP="006827C2">
            <w:pPr>
              <w:jc w:val="both"/>
              <w:rPr>
                <w:szCs w:val="24"/>
              </w:rPr>
            </w:pPr>
            <w:r w:rsidRPr="006827C2">
              <w:rPr>
                <w:b/>
                <w:szCs w:val="24"/>
              </w:rPr>
              <w:t xml:space="preserve">General information </w:t>
            </w:r>
            <w:r w:rsidRPr="006827C2">
              <w:rPr>
                <w:szCs w:val="24"/>
              </w:rPr>
              <w:t xml:space="preserve"> - To mitigate the severity of any injury that does occur and to comply with legal requirements :</w:t>
            </w:r>
          </w:p>
          <w:p w:rsidR="006827C2" w:rsidRPr="006827C2" w:rsidRDefault="006827C2" w:rsidP="006827C2">
            <w:pPr>
              <w:jc w:val="both"/>
              <w:rPr>
                <w:szCs w:val="24"/>
              </w:rPr>
            </w:pPr>
          </w:p>
          <w:p w:rsidR="007C1ACE" w:rsidRPr="006827C2" w:rsidRDefault="008D55FF" w:rsidP="00A55C06">
            <w:pPr>
              <w:pStyle w:val="ListParagraph"/>
              <w:numPr>
                <w:ilvl w:val="0"/>
                <w:numId w:val="4"/>
              </w:numPr>
              <w:jc w:val="both"/>
              <w:rPr>
                <w:szCs w:val="24"/>
              </w:rPr>
            </w:pPr>
            <w:r w:rsidRPr="006827C2">
              <w:rPr>
                <w:szCs w:val="24"/>
              </w:rPr>
              <w:t xml:space="preserve">First aid is available </w:t>
            </w:r>
            <w:r w:rsidR="007C1ACE" w:rsidRPr="006827C2">
              <w:rPr>
                <w:szCs w:val="24"/>
              </w:rPr>
              <w:t xml:space="preserve">from </w:t>
            </w:r>
            <w:r w:rsidRPr="006827C2">
              <w:rPr>
                <w:szCs w:val="24"/>
              </w:rPr>
              <w:t>any MIB first-aider or from Security staff (contact via Reception - tel.306 5200).</w:t>
            </w:r>
          </w:p>
          <w:p w:rsidR="007C1ACE" w:rsidRPr="006827C2" w:rsidRDefault="007C1ACE" w:rsidP="006827C2">
            <w:pPr>
              <w:pStyle w:val="ListParagraph"/>
              <w:numPr>
                <w:ilvl w:val="0"/>
                <w:numId w:val="4"/>
              </w:numPr>
              <w:jc w:val="both"/>
              <w:rPr>
                <w:sz w:val="20"/>
              </w:rPr>
            </w:pPr>
            <w:r w:rsidRPr="006827C2">
              <w:rPr>
                <w:szCs w:val="24"/>
              </w:rPr>
              <w:t xml:space="preserve">Any accidents </w:t>
            </w:r>
            <w:r w:rsidR="008D55FF" w:rsidRPr="006827C2">
              <w:rPr>
                <w:szCs w:val="24"/>
              </w:rPr>
              <w:t>must</w:t>
            </w:r>
            <w:r w:rsidRPr="006827C2">
              <w:rPr>
                <w:szCs w:val="24"/>
              </w:rPr>
              <w:t xml:space="preserve"> be reported </w:t>
            </w:r>
            <w:r w:rsidR="008D55FF" w:rsidRPr="006827C2">
              <w:rPr>
                <w:szCs w:val="24"/>
              </w:rPr>
              <w:t>to the MIB Safety and Risk Manager (tel. 306 5187).</w:t>
            </w:r>
          </w:p>
          <w:p w:rsidR="006827C2" w:rsidRPr="008D55FF" w:rsidRDefault="006827C2" w:rsidP="006827C2">
            <w:pPr>
              <w:pStyle w:val="ListParagraph"/>
              <w:jc w:val="both"/>
              <w:rPr>
                <w:sz w:val="20"/>
              </w:rPr>
            </w:pPr>
          </w:p>
        </w:tc>
      </w:tr>
    </w:tbl>
    <w:p w:rsidR="007C1ACE" w:rsidRDefault="007C1ACE" w:rsidP="006827C2">
      <w:pPr>
        <w:pStyle w:val="BodyTextIndent"/>
        <w:ind w:left="0"/>
        <w:jc w:val="center"/>
        <w:rPr>
          <w:b/>
          <w:bCs/>
          <w:sz w:val="32"/>
          <w:szCs w:val="32"/>
        </w:rPr>
      </w:pPr>
      <w:r w:rsidRPr="006827C2">
        <w:rPr>
          <w:b/>
          <w:bCs/>
          <w:sz w:val="32"/>
          <w:szCs w:val="32"/>
        </w:rPr>
        <w:t>Open Day/Supervised Visit</w:t>
      </w:r>
      <w:r w:rsidR="006827C2" w:rsidRPr="006827C2">
        <w:rPr>
          <w:b/>
          <w:bCs/>
          <w:sz w:val="32"/>
          <w:szCs w:val="32"/>
        </w:rPr>
        <w:t xml:space="preserve"> to the MIB</w:t>
      </w:r>
    </w:p>
    <w:p w:rsidR="006827C2" w:rsidRDefault="006827C2" w:rsidP="006827C2">
      <w:pPr>
        <w:pStyle w:val="BodyTextIndent"/>
        <w:ind w:left="0"/>
        <w:jc w:val="center"/>
        <w:rPr>
          <w:b/>
          <w:bCs/>
          <w:sz w:val="32"/>
          <w:szCs w:val="32"/>
        </w:rPr>
      </w:pPr>
    </w:p>
    <w:p w:rsidR="006827C2" w:rsidRDefault="006827C2" w:rsidP="006827C2">
      <w:pPr>
        <w:pStyle w:val="BodyTextIndent"/>
        <w:ind w:left="0"/>
        <w:jc w:val="center"/>
        <w:rPr>
          <w:b/>
          <w:bCs/>
          <w:sz w:val="32"/>
          <w:szCs w:val="32"/>
        </w:rPr>
      </w:pPr>
    </w:p>
    <w:p w:rsidR="006827C2" w:rsidRDefault="006827C2" w:rsidP="006827C2">
      <w:pPr>
        <w:pStyle w:val="BodyTextIndent"/>
        <w:ind w:left="0"/>
        <w:jc w:val="center"/>
        <w:rPr>
          <w:b/>
          <w:bCs/>
          <w:sz w:val="32"/>
          <w:szCs w:val="32"/>
        </w:rPr>
      </w:pPr>
      <w:bookmarkStart w:id="0" w:name="_GoBack"/>
      <w:bookmarkEnd w:id="0"/>
    </w:p>
    <w:p w:rsidR="006827C2" w:rsidRPr="006827C2" w:rsidRDefault="006827C2" w:rsidP="006827C2">
      <w:pPr>
        <w:pStyle w:val="BodyTextIndent"/>
        <w:ind w:left="0"/>
        <w:jc w:val="center"/>
        <w:rPr>
          <w:sz w:val="32"/>
          <w:szCs w:val="32"/>
        </w:rPr>
      </w:pPr>
    </w:p>
    <w:p w:rsidR="006827C2" w:rsidRDefault="006827C2">
      <w:pPr>
        <w:spacing w:after="200" w:line="276" w:lineRule="auto"/>
        <w:rPr>
          <w:b/>
          <w:sz w:val="20"/>
        </w:rPr>
      </w:pPr>
      <w:r>
        <w:rPr>
          <w:b/>
          <w:sz w:val="20"/>
        </w:rPr>
        <w:br w:type="page"/>
      </w:r>
    </w:p>
    <w:p w:rsidR="007C1ACE" w:rsidRPr="00A463EB" w:rsidRDefault="007C1ACE" w:rsidP="00A463EB">
      <w:pPr>
        <w:jc w:val="both"/>
        <w:rPr>
          <w:b/>
          <w:sz w:val="20"/>
        </w:rPr>
      </w:pPr>
    </w:p>
    <w:tbl>
      <w:tblPr>
        <w:tblW w:w="14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6"/>
        <w:gridCol w:w="1912"/>
        <w:gridCol w:w="1984"/>
        <w:gridCol w:w="6237"/>
        <w:gridCol w:w="1622"/>
        <w:gridCol w:w="1185"/>
      </w:tblGrid>
      <w:tr w:rsidR="007C1ACE" w:rsidRPr="00A463EB" w:rsidTr="008B44CF">
        <w:trPr>
          <w:tblHeader/>
          <w:jc w:val="center"/>
        </w:trPr>
        <w:tc>
          <w:tcPr>
            <w:tcW w:w="1896" w:type="dxa"/>
            <w:shd w:val="clear" w:color="auto" w:fill="CCECFF"/>
          </w:tcPr>
          <w:p w:rsidR="007C1ACE" w:rsidRPr="00A463EB" w:rsidRDefault="007C1ACE" w:rsidP="00A463EB">
            <w:pPr>
              <w:jc w:val="both"/>
              <w:rPr>
                <w:sz w:val="20"/>
              </w:rPr>
            </w:pPr>
            <w:r w:rsidRPr="00A463EB">
              <w:rPr>
                <w:sz w:val="20"/>
              </w:rPr>
              <w:t xml:space="preserve">Activity </w:t>
            </w:r>
          </w:p>
        </w:tc>
        <w:tc>
          <w:tcPr>
            <w:tcW w:w="1912" w:type="dxa"/>
            <w:shd w:val="clear" w:color="auto" w:fill="CCECFF"/>
          </w:tcPr>
          <w:p w:rsidR="007C1ACE" w:rsidRPr="00A463EB" w:rsidRDefault="007C1ACE" w:rsidP="00A463EB">
            <w:pPr>
              <w:jc w:val="both"/>
              <w:rPr>
                <w:sz w:val="20"/>
              </w:rPr>
            </w:pPr>
            <w:r w:rsidRPr="00A463EB">
              <w:rPr>
                <w:sz w:val="20"/>
              </w:rPr>
              <w:t xml:space="preserve">Hazard </w:t>
            </w:r>
          </w:p>
        </w:tc>
        <w:tc>
          <w:tcPr>
            <w:tcW w:w="1984" w:type="dxa"/>
            <w:shd w:val="clear" w:color="auto" w:fill="CCECFF"/>
          </w:tcPr>
          <w:p w:rsidR="007C1ACE" w:rsidRPr="00A463EB" w:rsidRDefault="007C1ACE" w:rsidP="00A463EB">
            <w:pPr>
              <w:jc w:val="both"/>
              <w:rPr>
                <w:sz w:val="20"/>
              </w:rPr>
            </w:pPr>
            <w:r w:rsidRPr="00A463EB">
              <w:rPr>
                <w:sz w:val="20"/>
              </w:rPr>
              <w:t xml:space="preserve">Who might be harmed and how </w:t>
            </w:r>
          </w:p>
        </w:tc>
        <w:tc>
          <w:tcPr>
            <w:tcW w:w="6237" w:type="dxa"/>
            <w:shd w:val="clear" w:color="auto" w:fill="CCECFF"/>
          </w:tcPr>
          <w:p w:rsidR="007C1ACE" w:rsidRPr="00A463EB" w:rsidRDefault="007C1ACE" w:rsidP="00A463EB">
            <w:pPr>
              <w:jc w:val="both"/>
              <w:rPr>
                <w:sz w:val="20"/>
              </w:rPr>
            </w:pPr>
            <w:r w:rsidRPr="00A463EB">
              <w:rPr>
                <w:sz w:val="20"/>
              </w:rPr>
              <w:t xml:space="preserve">Existing measures to control risk </w:t>
            </w:r>
          </w:p>
        </w:tc>
        <w:tc>
          <w:tcPr>
            <w:tcW w:w="1622" w:type="dxa"/>
            <w:shd w:val="clear" w:color="auto" w:fill="CCECFF"/>
          </w:tcPr>
          <w:p w:rsidR="007C1ACE" w:rsidRPr="00A463EB" w:rsidRDefault="007C1ACE" w:rsidP="00A463EB">
            <w:pPr>
              <w:jc w:val="both"/>
              <w:rPr>
                <w:sz w:val="20"/>
              </w:rPr>
            </w:pPr>
            <w:r w:rsidRPr="00A463EB">
              <w:rPr>
                <w:sz w:val="20"/>
              </w:rPr>
              <w:t xml:space="preserve">Risk rating </w:t>
            </w:r>
          </w:p>
        </w:tc>
        <w:tc>
          <w:tcPr>
            <w:tcW w:w="1185" w:type="dxa"/>
            <w:shd w:val="clear" w:color="auto" w:fill="CCECFF"/>
          </w:tcPr>
          <w:p w:rsidR="007C1ACE" w:rsidRPr="00A463EB" w:rsidRDefault="007C1ACE" w:rsidP="00A463EB">
            <w:pPr>
              <w:jc w:val="both"/>
              <w:rPr>
                <w:sz w:val="20"/>
              </w:rPr>
            </w:pPr>
            <w:r w:rsidRPr="00A463EB">
              <w:rPr>
                <w:sz w:val="20"/>
              </w:rPr>
              <w:t xml:space="preserve">Result </w:t>
            </w:r>
          </w:p>
        </w:tc>
      </w:tr>
      <w:tr w:rsidR="007C1ACE" w:rsidRPr="00A463EB" w:rsidTr="008B44CF">
        <w:trPr>
          <w:jc w:val="center"/>
        </w:trPr>
        <w:tc>
          <w:tcPr>
            <w:tcW w:w="1896" w:type="dxa"/>
          </w:tcPr>
          <w:p w:rsidR="007C1ACE" w:rsidRPr="00A463EB" w:rsidRDefault="007C1ACE" w:rsidP="00A463EB">
            <w:pPr>
              <w:jc w:val="both"/>
              <w:rPr>
                <w:sz w:val="20"/>
              </w:rPr>
            </w:pPr>
            <w:r w:rsidRPr="00A463EB">
              <w:rPr>
                <w:sz w:val="20"/>
              </w:rPr>
              <w:t>Supervised visit to</w:t>
            </w:r>
          </w:p>
          <w:p w:rsidR="007C1ACE" w:rsidRPr="00A463EB" w:rsidRDefault="00F85FE5" w:rsidP="00A463EB">
            <w:pPr>
              <w:jc w:val="both"/>
              <w:rPr>
                <w:sz w:val="20"/>
              </w:rPr>
            </w:pPr>
            <w:r>
              <w:rPr>
                <w:sz w:val="20"/>
              </w:rPr>
              <w:t>the MIB</w:t>
            </w: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t>Slippery floors</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Trailing cables or other obstructions</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Defective floor and stair coverings and finishes</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Unguarded edges</w:t>
            </w:r>
          </w:p>
          <w:p w:rsidR="007C1ACE" w:rsidRPr="00A463EB" w:rsidRDefault="007C1ACE" w:rsidP="00A463EB">
            <w:pPr>
              <w:jc w:val="both"/>
              <w:rPr>
                <w:sz w:val="20"/>
              </w:rPr>
            </w:pPr>
          </w:p>
          <w:p w:rsidR="007C1ACE" w:rsidRPr="00A463EB" w:rsidRDefault="007C1ACE" w:rsidP="00F85FE5">
            <w:pPr>
              <w:jc w:val="both"/>
              <w:rPr>
                <w:sz w:val="20"/>
              </w:rPr>
            </w:pPr>
            <w:r w:rsidRPr="00A463EB">
              <w:rPr>
                <w:sz w:val="20"/>
              </w:rPr>
              <w:t>Access to high risk areas, eg</w:t>
            </w:r>
            <w:r w:rsidR="00F85FE5">
              <w:rPr>
                <w:sz w:val="20"/>
              </w:rPr>
              <w:t>.</w:t>
            </w:r>
            <w:r w:rsidRPr="00A463EB">
              <w:rPr>
                <w:sz w:val="20"/>
              </w:rPr>
              <w:t xml:space="preserve"> cat 2 labs</w:t>
            </w:r>
            <w:r w:rsidR="00F85FE5">
              <w:rPr>
                <w:sz w:val="20"/>
              </w:rPr>
              <w:t>, laser labs</w:t>
            </w:r>
          </w:p>
        </w:tc>
        <w:tc>
          <w:tcPr>
            <w:tcW w:w="1984" w:type="dxa"/>
          </w:tcPr>
          <w:p w:rsidR="007C1ACE" w:rsidRPr="00A463EB" w:rsidRDefault="007C1ACE" w:rsidP="00A463EB">
            <w:pPr>
              <w:jc w:val="both"/>
              <w:rPr>
                <w:sz w:val="20"/>
              </w:rPr>
            </w:pPr>
            <w:r w:rsidRPr="00A463EB">
              <w:rPr>
                <w:sz w:val="20"/>
              </w:rPr>
              <w:t xml:space="preserve">All visitors at risk of slips, trips and falls.  </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Identify in advance if any subgroup</w:t>
            </w:r>
            <w:r w:rsidR="00F85FE5">
              <w:rPr>
                <w:sz w:val="20"/>
              </w:rPr>
              <w:t xml:space="preserve"> may be particularly at risk eg. </w:t>
            </w:r>
            <w:proofErr w:type="gramStart"/>
            <w:r w:rsidRPr="00A463EB">
              <w:rPr>
                <w:sz w:val="20"/>
              </w:rPr>
              <w:t>visitors</w:t>
            </w:r>
            <w:proofErr w:type="gramEnd"/>
            <w:r w:rsidRPr="00A463EB">
              <w:rPr>
                <w:sz w:val="20"/>
              </w:rPr>
              <w:t xml:space="preserve"> with disabilities.</w:t>
            </w:r>
          </w:p>
          <w:p w:rsidR="007C1ACE" w:rsidRPr="00A463EB" w:rsidRDefault="007C1ACE" w:rsidP="00A463EB">
            <w:pPr>
              <w:jc w:val="both"/>
              <w:rPr>
                <w:sz w:val="20"/>
              </w:rPr>
            </w:pPr>
          </w:p>
        </w:tc>
        <w:tc>
          <w:tcPr>
            <w:tcW w:w="6237" w:type="dxa"/>
          </w:tcPr>
          <w:p w:rsidR="007C1ACE" w:rsidRDefault="007C1ACE" w:rsidP="00A463EB">
            <w:pPr>
              <w:jc w:val="both"/>
              <w:rPr>
                <w:sz w:val="20"/>
              </w:rPr>
            </w:pPr>
            <w:r w:rsidRPr="00A463EB">
              <w:rPr>
                <w:sz w:val="20"/>
              </w:rPr>
              <w:t>Premises are all maintained by Estates</w:t>
            </w:r>
            <w:r w:rsidR="00F85FE5">
              <w:rPr>
                <w:sz w:val="20"/>
              </w:rPr>
              <w:t xml:space="preserve">; any obvious </w:t>
            </w:r>
            <w:r w:rsidRPr="00A463EB">
              <w:rPr>
                <w:sz w:val="20"/>
              </w:rPr>
              <w:t xml:space="preserve">defects likely to cause slips and trip </w:t>
            </w:r>
            <w:r w:rsidR="00F85FE5">
              <w:rPr>
                <w:sz w:val="20"/>
              </w:rPr>
              <w:t xml:space="preserve">must be reported to the MIB Support Services Manager (Janet England, tel. 306 2584). </w:t>
            </w:r>
          </w:p>
          <w:p w:rsidR="00F85FE5" w:rsidRPr="00A463EB" w:rsidRDefault="00F85FE5" w:rsidP="00A463EB">
            <w:pPr>
              <w:jc w:val="both"/>
              <w:rPr>
                <w:sz w:val="20"/>
              </w:rPr>
            </w:pPr>
          </w:p>
          <w:p w:rsidR="007C1ACE" w:rsidRPr="00A463EB" w:rsidRDefault="00F85FE5" w:rsidP="00A463EB">
            <w:pPr>
              <w:jc w:val="both"/>
              <w:rPr>
                <w:sz w:val="20"/>
              </w:rPr>
            </w:pPr>
            <w:r>
              <w:rPr>
                <w:sz w:val="20"/>
              </w:rPr>
              <w:t xml:space="preserve">All areas to </w:t>
            </w:r>
            <w:r w:rsidR="007C1ACE" w:rsidRPr="00A463EB">
              <w:rPr>
                <w:sz w:val="20"/>
              </w:rPr>
              <w:t xml:space="preserve">be used by visitors will be inspected by </w:t>
            </w:r>
            <w:r>
              <w:rPr>
                <w:sz w:val="20"/>
              </w:rPr>
              <w:t xml:space="preserve">the </w:t>
            </w:r>
            <w:r w:rsidR="007C1ACE" w:rsidRPr="00A463EB">
              <w:rPr>
                <w:sz w:val="20"/>
              </w:rPr>
              <w:t>University Organiser (</w:t>
            </w:r>
            <w:r w:rsidR="00177503">
              <w:rPr>
                <w:sz w:val="20"/>
              </w:rPr>
              <w:t>Louise Barnes</w:t>
            </w:r>
            <w:r w:rsidR="007C1ACE" w:rsidRPr="00A463EB">
              <w:rPr>
                <w:sz w:val="20"/>
              </w:rPr>
              <w:t>) before the day of the event, to check that conditions are satisfactory.</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 xml:space="preserve">Building features such as stairs, atria, long distances between attractions, will be checked by the University Organiser to ensure they are appropriate for the age group concerned, and steps taken to control any identified risk. </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 xml:space="preserve">The University Organiser will check in advance if any high risk areas could be accessed, and will </w:t>
            </w:r>
            <w:r w:rsidR="00F85FE5">
              <w:rPr>
                <w:sz w:val="20"/>
              </w:rPr>
              <w:t>ensure doors are locked</w:t>
            </w:r>
            <w:r w:rsidRPr="00A463EB">
              <w:rPr>
                <w:sz w:val="20"/>
              </w:rPr>
              <w:t xml:space="preserve"> to prevent access</w:t>
            </w:r>
            <w:r w:rsidR="00F85FE5">
              <w:rPr>
                <w:sz w:val="20"/>
              </w:rPr>
              <w:t xml:space="preserve"> (eg. Tissue culture labs – ensure keypad access is in effect)</w:t>
            </w:r>
            <w:r w:rsidRPr="00A463EB">
              <w:rPr>
                <w:sz w:val="20"/>
              </w:rPr>
              <w:t xml:space="preserve">.  </w:t>
            </w:r>
          </w:p>
          <w:p w:rsidR="007C1ACE" w:rsidRDefault="007C1ACE" w:rsidP="00A463EB">
            <w:pPr>
              <w:jc w:val="both"/>
              <w:rPr>
                <w:sz w:val="20"/>
              </w:rPr>
            </w:pPr>
          </w:p>
          <w:p w:rsidR="0011391E" w:rsidRDefault="0011391E" w:rsidP="001958BD">
            <w:pPr>
              <w:jc w:val="both"/>
              <w:rPr>
                <w:sz w:val="20"/>
              </w:rPr>
            </w:pPr>
            <w:r>
              <w:rPr>
                <w:sz w:val="20"/>
              </w:rPr>
              <w:t>Lab tours will be in small groups (</w:t>
            </w:r>
            <w:r w:rsidR="001958BD">
              <w:rPr>
                <w:sz w:val="20"/>
              </w:rPr>
              <w:t>10</w:t>
            </w:r>
            <w:r>
              <w:rPr>
                <w:sz w:val="20"/>
              </w:rPr>
              <w:t xml:space="preserve"> maximum); each group will be lead by a member of the MIB research community (Ph. D. Student, post-doc, etc) who is familiar with the building and the risks associated with each area of the tour. </w:t>
            </w:r>
          </w:p>
          <w:p w:rsidR="0011391E" w:rsidRDefault="0011391E" w:rsidP="0011391E">
            <w:pPr>
              <w:jc w:val="both"/>
              <w:rPr>
                <w:sz w:val="20"/>
              </w:rPr>
            </w:pPr>
          </w:p>
          <w:p w:rsidR="0011391E" w:rsidRPr="00A463EB" w:rsidRDefault="0011391E" w:rsidP="0011391E">
            <w:pPr>
              <w:jc w:val="both"/>
              <w:rPr>
                <w:sz w:val="20"/>
              </w:rPr>
            </w:pPr>
            <w:r>
              <w:rPr>
                <w:sz w:val="20"/>
              </w:rPr>
              <w:t>All visitors to the labs will be provided with a lab coat which must be worn for the duration of the lab visit. All lab tour guides will ensure that visitors are informed of the inherent risks associated with entering research laboratories. All lab tour areas will be checked before the visit, and active research in the areas will be kept to a minimum for the duration of the tour. All visitors will be told not to touch anything in the labs without prior authorisation; at the end of the visit, lab coats must be removed, and hands thoroughly washed</w:t>
            </w:r>
            <w:r w:rsidR="00B12067">
              <w:rPr>
                <w:sz w:val="20"/>
              </w:rPr>
              <w:t xml:space="preserve"> </w:t>
            </w:r>
            <w:r>
              <w:rPr>
                <w:sz w:val="20"/>
              </w:rPr>
              <w:t>when leaving the labs.</w:t>
            </w:r>
          </w:p>
          <w:p w:rsidR="0011391E" w:rsidRDefault="0011391E" w:rsidP="00A463EB">
            <w:pPr>
              <w:jc w:val="both"/>
              <w:rPr>
                <w:sz w:val="20"/>
              </w:rPr>
            </w:pPr>
          </w:p>
          <w:p w:rsidR="001958BD" w:rsidRPr="008B44CF" w:rsidRDefault="001958BD" w:rsidP="001958BD">
            <w:pPr>
              <w:jc w:val="both"/>
              <w:rPr>
                <w:b/>
                <w:sz w:val="20"/>
              </w:rPr>
            </w:pPr>
            <w:r w:rsidRPr="008B44CF">
              <w:rPr>
                <w:b/>
                <w:color w:val="FF0000"/>
                <w:sz w:val="20"/>
              </w:rPr>
              <w:t>The NMR suite will be out of bounds to anyone with a pacemaker</w:t>
            </w:r>
            <w:r w:rsidR="008B44CF" w:rsidRPr="008B44CF">
              <w:rPr>
                <w:b/>
                <w:color w:val="FF0000"/>
                <w:sz w:val="20"/>
              </w:rPr>
              <w:t>, cochlear implant</w:t>
            </w:r>
            <w:r w:rsidRPr="008B44CF">
              <w:rPr>
                <w:b/>
                <w:color w:val="FF0000"/>
                <w:sz w:val="20"/>
              </w:rPr>
              <w:t xml:space="preserve"> or similar implant – please </w:t>
            </w:r>
            <w:proofErr w:type="gramStart"/>
            <w:r w:rsidRPr="008B44CF">
              <w:rPr>
                <w:b/>
                <w:color w:val="FF0000"/>
                <w:sz w:val="20"/>
              </w:rPr>
              <w:t>advise</w:t>
            </w:r>
            <w:proofErr w:type="gramEnd"/>
            <w:r w:rsidRPr="008B44CF">
              <w:rPr>
                <w:b/>
                <w:color w:val="FF0000"/>
                <w:sz w:val="20"/>
              </w:rPr>
              <w:t xml:space="preserve"> your tour guides. </w:t>
            </w:r>
          </w:p>
        </w:tc>
        <w:tc>
          <w:tcPr>
            <w:tcW w:w="1622" w:type="dxa"/>
          </w:tcPr>
          <w:p w:rsidR="007C1ACE" w:rsidRPr="00A463EB" w:rsidRDefault="007C1ACE" w:rsidP="00A463EB">
            <w:pPr>
              <w:jc w:val="both"/>
              <w:rPr>
                <w:sz w:val="20"/>
              </w:rPr>
            </w:pPr>
            <w:r w:rsidRPr="00A463EB">
              <w:rPr>
                <w:sz w:val="20"/>
              </w:rPr>
              <w:t xml:space="preserve">Low, unless </w:t>
            </w:r>
          </w:p>
          <w:p w:rsidR="007C1ACE" w:rsidRPr="00A463EB" w:rsidRDefault="007C1ACE" w:rsidP="00A463EB">
            <w:pPr>
              <w:jc w:val="both"/>
              <w:rPr>
                <w:sz w:val="20"/>
              </w:rPr>
            </w:pPr>
          </w:p>
          <w:p w:rsidR="007C1ACE" w:rsidRPr="00A463EB" w:rsidRDefault="007C1ACE" w:rsidP="00A463EB">
            <w:pPr>
              <w:jc w:val="both"/>
              <w:rPr>
                <w:sz w:val="20"/>
              </w:rPr>
            </w:pPr>
          </w:p>
          <w:p w:rsidR="007C1ACE" w:rsidRPr="00F85FE5" w:rsidRDefault="007C1ACE" w:rsidP="00F85FE5">
            <w:pPr>
              <w:numPr>
                <w:ilvl w:val="0"/>
                <w:numId w:val="2"/>
              </w:numPr>
              <w:tabs>
                <w:tab w:val="clear" w:pos="720"/>
                <w:tab w:val="num" w:pos="176"/>
              </w:tabs>
              <w:ind w:left="176" w:hanging="142"/>
              <w:jc w:val="both"/>
              <w:rPr>
                <w:sz w:val="20"/>
              </w:rPr>
            </w:pPr>
            <w:r w:rsidRPr="00A463EB">
              <w:rPr>
                <w:sz w:val="20"/>
              </w:rPr>
              <w:t>defects noted, in which case, they should be actioned promptly</w:t>
            </w:r>
          </w:p>
        </w:tc>
        <w:tc>
          <w:tcPr>
            <w:tcW w:w="1185" w:type="dxa"/>
          </w:tcPr>
          <w:p w:rsidR="007C1ACE" w:rsidRPr="00A463EB" w:rsidRDefault="007C1ACE" w:rsidP="00A463EB">
            <w:pPr>
              <w:jc w:val="both"/>
              <w:rPr>
                <w:sz w:val="20"/>
              </w:rPr>
            </w:pPr>
            <w:r w:rsidRPr="00A463EB">
              <w:rPr>
                <w:sz w:val="20"/>
              </w:rPr>
              <w:t>A, unless</w:t>
            </w: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N</w:t>
            </w: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F85FE5">
            <w:pPr>
              <w:tabs>
                <w:tab w:val="left" w:pos="692"/>
              </w:tabs>
              <w:jc w:val="both"/>
              <w:rPr>
                <w:sz w:val="20"/>
              </w:rPr>
            </w:pPr>
          </w:p>
        </w:tc>
      </w:tr>
      <w:tr w:rsidR="007C1ACE" w:rsidRPr="00A463EB" w:rsidTr="008B44CF">
        <w:trPr>
          <w:jc w:val="center"/>
        </w:trPr>
        <w:tc>
          <w:tcPr>
            <w:tcW w:w="1896" w:type="dxa"/>
          </w:tcPr>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lastRenderedPageBreak/>
              <w:t>Fire</w:t>
            </w:r>
          </w:p>
        </w:tc>
        <w:tc>
          <w:tcPr>
            <w:tcW w:w="1984" w:type="dxa"/>
          </w:tcPr>
          <w:p w:rsidR="007C1ACE" w:rsidRPr="00A463EB" w:rsidRDefault="007C1ACE" w:rsidP="00A463EB">
            <w:pPr>
              <w:jc w:val="both"/>
              <w:rPr>
                <w:sz w:val="20"/>
              </w:rPr>
            </w:pPr>
            <w:r w:rsidRPr="00A463EB">
              <w:rPr>
                <w:sz w:val="20"/>
              </w:rPr>
              <w:t xml:space="preserve">All visitors– at risk </w:t>
            </w:r>
            <w:r w:rsidRPr="00A463EB">
              <w:rPr>
                <w:sz w:val="20"/>
              </w:rPr>
              <w:lastRenderedPageBreak/>
              <w:t xml:space="preserve">of injury by fire or smoke inhalation if emergency procedures not followed. </w:t>
            </w:r>
          </w:p>
        </w:tc>
        <w:tc>
          <w:tcPr>
            <w:tcW w:w="6237" w:type="dxa"/>
          </w:tcPr>
          <w:p w:rsidR="007C1ACE" w:rsidRDefault="0025485F" w:rsidP="00A463EB">
            <w:pPr>
              <w:jc w:val="both"/>
              <w:rPr>
                <w:sz w:val="20"/>
              </w:rPr>
            </w:pPr>
            <w:r>
              <w:rPr>
                <w:sz w:val="20"/>
              </w:rPr>
              <w:lastRenderedPageBreak/>
              <w:t>University Organiser and MIB tour guides</w:t>
            </w:r>
            <w:r w:rsidR="007C1ACE" w:rsidRPr="00A463EB">
              <w:rPr>
                <w:sz w:val="20"/>
              </w:rPr>
              <w:t xml:space="preserve"> </w:t>
            </w:r>
            <w:r>
              <w:rPr>
                <w:sz w:val="20"/>
              </w:rPr>
              <w:t>are</w:t>
            </w:r>
            <w:r w:rsidR="007C1ACE" w:rsidRPr="00A463EB">
              <w:rPr>
                <w:sz w:val="20"/>
              </w:rPr>
              <w:t xml:space="preserve"> familiar with the fire </w:t>
            </w:r>
            <w:r w:rsidR="007C1ACE" w:rsidRPr="00A463EB">
              <w:rPr>
                <w:sz w:val="20"/>
              </w:rPr>
              <w:lastRenderedPageBreak/>
              <w:t>alarm and evacuation arrangements f</w:t>
            </w:r>
            <w:r>
              <w:rPr>
                <w:sz w:val="20"/>
              </w:rPr>
              <w:t>or the MIB.</w:t>
            </w:r>
          </w:p>
          <w:p w:rsidR="0025485F" w:rsidRPr="00A463EB" w:rsidRDefault="0025485F" w:rsidP="00A463EB">
            <w:pPr>
              <w:jc w:val="both"/>
              <w:rPr>
                <w:sz w:val="20"/>
              </w:rPr>
            </w:pPr>
          </w:p>
          <w:p w:rsidR="007C1ACE" w:rsidRPr="00A463EB" w:rsidRDefault="007C1ACE" w:rsidP="00A463EB">
            <w:pPr>
              <w:jc w:val="both"/>
              <w:rPr>
                <w:sz w:val="20"/>
              </w:rPr>
            </w:pPr>
            <w:r w:rsidRPr="00A463EB">
              <w:rPr>
                <w:sz w:val="20"/>
              </w:rPr>
              <w:t>Information about fire alarms and actions to take –</w:t>
            </w:r>
          </w:p>
          <w:p w:rsidR="007C1ACE" w:rsidRPr="00A463EB" w:rsidRDefault="007C1ACE" w:rsidP="00A463EB">
            <w:pPr>
              <w:numPr>
                <w:ilvl w:val="0"/>
                <w:numId w:val="1"/>
              </w:numPr>
              <w:jc w:val="both"/>
              <w:rPr>
                <w:sz w:val="20"/>
              </w:rPr>
            </w:pPr>
            <w:r w:rsidRPr="00A463EB">
              <w:rPr>
                <w:sz w:val="20"/>
              </w:rPr>
              <w:t>if fire is discovered</w:t>
            </w:r>
          </w:p>
          <w:p w:rsidR="007C1ACE" w:rsidRPr="00A463EB" w:rsidRDefault="007C1ACE" w:rsidP="00A463EB">
            <w:pPr>
              <w:numPr>
                <w:ilvl w:val="0"/>
                <w:numId w:val="1"/>
              </w:numPr>
              <w:jc w:val="both"/>
              <w:rPr>
                <w:sz w:val="20"/>
              </w:rPr>
            </w:pPr>
            <w:r w:rsidRPr="00A463EB">
              <w:rPr>
                <w:sz w:val="20"/>
              </w:rPr>
              <w:t>if the alarm sounds and evacuation is required</w:t>
            </w:r>
          </w:p>
          <w:p w:rsidR="007C1ACE" w:rsidRPr="00A463EB" w:rsidRDefault="007C1ACE" w:rsidP="00A463EB">
            <w:pPr>
              <w:numPr>
                <w:ilvl w:val="0"/>
                <w:numId w:val="1"/>
              </w:numPr>
              <w:jc w:val="both"/>
              <w:rPr>
                <w:sz w:val="20"/>
              </w:rPr>
            </w:pPr>
            <w:r w:rsidRPr="00A463EB">
              <w:rPr>
                <w:sz w:val="20"/>
              </w:rPr>
              <w:t>assembly point for the visiting party,</w:t>
            </w:r>
          </w:p>
          <w:p w:rsidR="007C1ACE" w:rsidRDefault="00B12067" w:rsidP="00A463EB">
            <w:pPr>
              <w:jc w:val="both"/>
              <w:rPr>
                <w:sz w:val="20"/>
              </w:rPr>
            </w:pPr>
            <w:proofErr w:type="gramStart"/>
            <w:r>
              <w:rPr>
                <w:sz w:val="20"/>
              </w:rPr>
              <w:t>w</w:t>
            </w:r>
            <w:r w:rsidR="000C437F" w:rsidRPr="00A463EB">
              <w:rPr>
                <w:sz w:val="20"/>
              </w:rPr>
              <w:t>ill</w:t>
            </w:r>
            <w:proofErr w:type="gramEnd"/>
            <w:r w:rsidR="007C1ACE" w:rsidRPr="00A463EB">
              <w:rPr>
                <w:sz w:val="20"/>
              </w:rPr>
              <w:t xml:space="preserve"> be given to the visitors during the f</w:t>
            </w:r>
            <w:r w:rsidR="0025485F">
              <w:rPr>
                <w:sz w:val="20"/>
              </w:rPr>
              <w:t>ormal welcome and induction by the University Organiser</w:t>
            </w:r>
            <w:r w:rsidR="00AC54E9">
              <w:rPr>
                <w:sz w:val="20"/>
              </w:rPr>
              <w:t xml:space="preserve"> or MIB Tour Guide</w:t>
            </w:r>
            <w:r>
              <w:rPr>
                <w:sz w:val="20"/>
              </w:rPr>
              <w:t>s</w:t>
            </w:r>
            <w:r w:rsidR="007C1ACE" w:rsidRPr="00A463EB">
              <w:rPr>
                <w:sz w:val="20"/>
              </w:rPr>
              <w:t>.</w:t>
            </w:r>
          </w:p>
          <w:p w:rsidR="0025485F" w:rsidRPr="00A463EB" w:rsidRDefault="0025485F" w:rsidP="00A463EB">
            <w:pPr>
              <w:jc w:val="both"/>
              <w:rPr>
                <w:sz w:val="20"/>
              </w:rPr>
            </w:pPr>
          </w:p>
          <w:p w:rsidR="007C1ACE" w:rsidRPr="00A463EB" w:rsidRDefault="007C1ACE" w:rsidP="00A463EB">
            <w:pPr>
              <w:jc w:val="both"/>
              <w:rPr>
                <w:sz w:val="20"/>
              </w:rPr>
            </w:pPr>
            <w:r w:rsidRPr="00A463EB">
              <w:rPr>
                <w:sz w:val="20"/>
              </w:rPr>
              <w:t>All group</w:t>
            </w:r>
            <w:r w:rsidR="0025485F">
              <w:rPr>
                <w:sz w:val="20"/>
              </w:rPr>
              <w:t xml:space="preserve">s (lab tour groups, exhibition groups, etc) will be fully supervised at all times by a member of the MIB research community (Ph. D. Student/ post-doc, etc) who is familiar with the fire </w:t>
            </w:r>
            <w:r w:rsidRPr="00A463EB">
              <w:rPr>
                <w:sz w:val="20"/>
              </w:rPr>
              <w:t xml:space="preserve">safety arrangements, </w:t>
            </w:r>
            <w:r w:rsidR="0025485F">
              <w:rPr>
                <w:sz w:val="20"/>
              </w:rPr>
              <w:t xml:space="preserve">and </w:t>
            </w:r>
            <w:r w:rsidRPr="00A463EB">
              <w:rPr>
                <w:sz w:val="20"/>
              </w:rPr>
              <w:t xml:space="preserve">will direct the evacuation, and account for all visitors at the assembly point.  They will be provided with a list of </w:t>
            </w:r>
            <w:r w:rsidR="0025485F">
              <w:rPr>
                <w:sz w:val="20"/>
              </w:rPr>
              <w:t>their group members</w:t>
            </w:r>
            <w:r w:rsidRPr="00A463EB">
              <w:rPr>
                <w:sz w:val="20"/>
              </w:rPr>
              <w:t>.</w:t>
            </w:r>
          </w:p>
          <w:p w:rsidR="007C1ACE" w:rsidRPr="00A463EB" w:rsidRDefault="007C1ACE" w:rsidP="00A463EB">
            <w:pPr>
              <w:jc w:val="both"/>
              <w:rPr>
                <w:sz w:val="20"/>
              </w:rPr>
            </w:pPr>
          </w:p>
          <w:p w:rsidR="007C1ACE" w:rsidRPr="008B44CF" w:rsidRDefault="007C1ACE" w:rsidP="00A463EB">
            <w:pPr>
              <w:jc w:val="both"/>
              <w:rPr>
                <w:b/>
                <w:color w:val="FF0000"/>
                <w:sz w:val="20"/>
              </w:rPr>
            </w:pPr>
            <w:r w:rsidRPr="008B44CF">
              <w:rPr>
                <w:b/>
                <w:color w:val="FF0000"/>
                <w:sz w:val="20"/>
              </w:rPr>
              <w:t xml:space="preserve">The University and Visitor Organisers will exchange information prior to the visit about individual(s) who may need assistance during an evacuation (eg those with mobility disabilities).  Visitors who are blind or deaf will be assigned a “buddy” during the visit where necessary. </w:t>
            </w:r>
          </w:p>
        </w:tc>
        <w:tc>
          <w:tcPr>
            <w:tcW w:w="1622" w:type="dxa"/>
          </w:tcPr>
          <w:p w:rsidR="007C1ACE" w:rsidRPr="00A463EB" w:rsidRDefault="007C1ACE" w:rsidP="00A463EB">
            <w:pPr>
              <w:jc w:val="both"/>
              <w:rPr>
                <w:sz w:val="20"/>
              </w:rPr>
            </w:pPr>
            <w:r w:rsidRPr="00A463EB">
              <w:rPr>
                <w:sz w:val="20"/>
              </w:rPr>
              <w:lastRenderedPageBreak/>
              <w:t xml:space="preserve">Low – </w:t>
            </w:r>
          </w:p>
          <w:p w:rsidR="007C1ACE" w:rsidRPr="00A463EB" w:rsidRDefault="007C1ACE" w:rsidP="00A463EB">
            <w:pPr>
              <w:jc w:val="both"/>
              <w:rPr>
                <w:sz w:val="20"/>
              </w:rPr>
            </w:pPr>
          </w:p>
          <w:p w:rsidR="007C1ACE" w:rsidRPr="00A463EB" w:rsidRDefault="007C1ACE" w:rsidP="00A463EB">
            <w:pPr>
              <w:jc w:val="both"/>
              <w:rPr>
                <w:sz w:val="20"/>
              </w:rPr>
            </w:pPr>
            <w:proofErr w:type="gramStart"/>
            <w:r w:rsidRPr="00A463EB">
              <w:rPr>
                <w:sz w:val="20"/>
              </w:rPr>
              <w:t>unless</w:t>
            </w:r>
            <w:proofErr w:type="gramEnd"/>
            <w:r w:rsidRPr="00A463EB">
              <w:rPr>
                <w:sz w:val="20"/>
              </w:rPr>
              <w:t xml:space="preserve"> party includes mobility impaired persons. </w:t>
            </w:r>
          </w:p>
        </w:tc>
        <w:tc>
          <w:tcPr>
            <w:tcW w:w="1185" w:type="dxa"/>
          </w:tcPr>
          <w:p w:rsidR="007C1ACE" w:rsidRPr="00A463EB" w:rsidRDefault="007C1ACE" w:rsidP="00A463EB">
            <w:pPr>
              <w:jc w:val="both"/>
              <w:rPr>
                <w:sz w:val="20"/>
              </w:rPr>
            </w:pPr>
            <w:r w:rsidRPr="00A463EB">
              <w:rPr>
                <w:sz w:val="20"/>
              </w:rPr>
              <w:lastRenderedPageBreak/>
              <w:t>A –</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or N</w:t>
            </w:r>
          </w:p>
        </w:tc>
      </w:tr>
      <w:tr w:rsidR="007C1ACE" w:rsidRPr="00A463EB" w:rsidTr="008B44CF">
        <w:trPr>
          <w:jc w:val="center"/>
        </w:trPr>
        <w:tc>
          <w:tcPr>
            <w:tcW w:w="1896" w:type="dxa"/>
          </w:tcPr>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t>Consumption of food</w:t>
            </w:r>
          </w:p>
        </w:tc>
        <w:tc>
          <w:tcPr>
            <w:tcW w:w="1984" w:type="dxa"/>
          </w:tcPr>
          <w:p w:rsidR="007C1ACE" w:rsidRPr="00A463EB" w:rsidRDefault="007C1ACE" w:rsidP="00A463EB">
            <w:pPr>
              <w:jc w:val="both"/>
              <w:rPr>
                <w:sz w:val="20"/>
              </w:rPr>
            </w:pPr>
            <w:r w:rsidRPr="00A463EB">
              <w:rPr>
                <w:sz w:val="20"/>
              </w:rPr>
              <w:t xml:space="preserve">All visitors at risk of illness caused by </w:t>
            </w:r>
          </w:p>
          <w:p w:rsidR="007C1ACE" w:rsidRPr="00A463EB" w:rsidRDefault="007C1ACE" w:rsidP="00A463EB">
            <w:pPr>
              <w:numPr>
                <w:ilvl w:val="0"/>
                <w:numId w:val="1"/>
              </w:numPr>
              <w:tabs>
                <w:tab w:val="clear" w:pos="720"/>
                <w:tab w:val="num" w:pos="176"/>
              </w:tabs>
              <w:ind w:left="176" w:hanging="176"/>
              <w:jc w:val="both"/>
              <w:rPr>
                <w:sz w:val="20"/>
              </w:rPr>
            </w:pPr>
            <w:r w:rsidRPr="00A463EB">
              <w:rPr>
                <w:sz w:val="20"/>
              </w:rPr>
              <w:t>allergy</w:t>
            </w:r>
          </w:p>
          <w:p w:rsidR="007C1ACE" w:rsidRPr="00A463EB" w:rsidRDefault="007C1ACE" w:rsidP="00A463EB">
            <w:pPr>
              <w:numPr>
                <w:ilvl w:val="0"/>
                <w:numId w:val="1"/>
              </w:numPr>
              <w:tabs>
                <w:tab w:val="clear" w:pos="720"/>
                <w:tab w:val="num" w:pos="176"/>
              </w:tabs>
              <w:ind w:left="176" w:hanging="176"/>
              <w:jc w:val="both"/>
              <w:rPr>
                <w:sz w:val="20"/>
              </w:rPr>
            </w:pPr>
            <w:r w:rsidRPr="00A463EB">
              <w:rPr>
                <w:sz w:val="20"/>
              </w:rPr>
              <w:t>failures of  temperature control or food handling practices</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All visitors at risk of scalding from accidental spillage of hot food /drinks.</w:t>
            </w:r>
          </w:p>
        </w:tc>
        <w:tc>
          <w:tcPr>
            <w:tcW w:w="6237" w:type="dxa"/>
          </w:tcPr>
          <w:p w:rsidR="007C1ACE" w:rsidRPr="00A463EB" w:rsidRDefault="007C1ACE" w:rsidP="00A463EB">
            <w:pPr>
              <w:jc w:val="both"/>
              <w:rPr>
                <w:sz w:val="20"/>
              </w:rPr>
            </w:pPr>
            <w:r w:rsidRPr="00A463EB">
              <w:rPr>
                <w:sz w:val="20"/>
              </w:rPr>
              <w:t>The University Organiser will</w:t>
            </w:r>
            <w:r w:rsidR="0025485F">
              <w:rPr>
                <w:sz w:val="20"/>
              </w:rPr>
              <w:t xml:space="preserve"> liaise with </w:t>
            </w:r>
            <w:proofErr w:type="spellStart"/>
            <w:r w:rsidRPr="00A463EB">
              <w:rPr>
                <w:sz w:val="20"/>
              </w:rPr>
              <w:t>FoodOnCampus</w:t>
            </w:r>
            <w:proofErr w:type="spellEnd"/>
            <w:r w:rsidRPr="00A463EB">
              <w:rPr>
                <w:sz w:val="20"/>
              </w:rPr>
              <w:t xml:space="preserve"> about p</w:t>
            </w:r>
            <w:r w:rsidR="0025485F">
              <w:rPr>
                <w:sz w:val="20"/>
              </w:rPr>
              <w:t xml:space="preserve">rovision of catering – timing, </w:t>
            </w:r>
            <w:r w:rsidRPr="00A463EB">
              <w:rPr>
                <w:sz w:val="20"/>
              </w:rPr>
              <w:t>numbers, special dietary requirements (such as food sensitivities and allergies).</w:t>
            </w:r>
          </w:p>
          <w:p w:rsidR="007C1ACE" w:rsidRPr="00A463EB" w:rsidRDefault="007C1ACE" w:rsidP="00A463EB">
            <w:pPr>
              <w:jc w:val="both"/>
              <w:rPr>
                <w:sz w:val="20"/>
              </w:rPr>
            </w:pPr>
          </w:p>
          <w:p w:rsidR="007C1ACE" w:rsidRPr="00A463EB" w:rsidRDefault="007C1ACE" w:rsidP="00B12067">
            <w:pPr>
              <w:jc w:val="both"/>
              <w:rPr>
                <w:sz w:val="20"/>
              </w:rPr>
            </w:pPr>
            <w:r w:rsidRPr="00A463EB">
              <w:rPr>
                <w:sz w:val="20"/>
              </w:rPr>
              <w:t xml:space="preserve">Food safety issues are managed by </w:t>
            </w:r>
            <w:proofErr w:type="spellStart"/>
            <w:r w:rsidR="0025485F" w:rsidRPr="00A463EB">
              <w:rPr>
                <w:sz w:val="20"/>
              </w:rPr>
              <w:t>FoodOnCampus</w:t>
            </w:r>
            <w:proofErr w:type="spellEnd"/>
            <w:r w:rsidR="0025485F" w:rsidRPr="00A463EB">
              <w:rPr>
                <w:sz w:val="20"/>
              </w:rPr>
              <w:t xml:space="preserve"> </w:t>
            </w:r>
            <w:r w:rsidRPr="00A463EB">
              <w:rPr>
                <w:sz w:val="20"/>
              </w:rPr>
              <w:t>with advice available</w:t>
            </w:r>
            <w:r w:rsidR="00B12067">
              <w:rPr>
                <w:sz w:val="20"/>
              </w:rPr>
              <w:t xml:space="preserve"> from</w:t>
            </w:r>
            <w:r w:rsidRPr="00A463EB">
              <w:rPr>
                <w:sz w:val="20"/>
              </w:rPr>
              <w:t xml:space="preserve"> Health &amp; Safety Services</w:t>
            </w:r>
            <w:r w:rsidR="00B12067">
              <w:rPr>
                <w:sz w:val="20"/>
              </w:rPr>
              <w:t>.</w:t>
            </w:r>
          </w:p>
        </w:tc>
        <w:tc>
          <w:tcPr>
            <w:tcW w:w="1622" w:type="dxa"/>
          </w:tcPr>
          <w:p w:rsidR="007C1ACE" w:rsidRPr="00A463EB" w:rsidRDefault="007C1ACE" w:rsidP="00A463EB">
            <w:pPr>
              <w:jc w:val="both"/>
              <w:rPr>
                <w:sz w:val="20"/>
              </w:rPr>
            </w:pPr>
            <w:r w:rsidRPr="00A463EB">
              <w:rPr>
                <w:sz w:val="20"/>
              </w:rPr>
              <w:t>Low</w:t>
            </w:r>
          </w:p>
        </w:tc>
        <w:tc>
          <w:tcPr>
            <w:tcW w:w="1185" w:type="dxa"/>
          </w:tcPr>
          <w:p w:rsidR="007C1ACE" w:rsidRPr="00A463EB" w:rsidRDefault="007C1ACE" w:rsidP="00A463EB">
            <w:pPr>
              <w:jc w:val="both"/>
              <w:rPr>
                <w:sz w:val="20"/>
              </w:rPr>
            </w:pPr>
            <w:r w:rsidRPr="00A463EB">
              <w:rPr>
                <w:sz w:val="20"/>
              </w:rPr>
              <w:t>A</w:t>
            </w:r>
          </w:p>
        </w:tc>
      </w:tr>
      <w:tr w:rsidR="007C1ACE" w:rsidRPr="00A463EB" w:rsidTr="008B44CF">
        <w:trPr>
          <w:jc w:val="center"/>
        </w:trPr>
        <w:tc>
          <w:tcPr>
            <w:tcW w:w="1896" w:type="dxa"/>
          </w:tcPr>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t xml:space="preserve">Vehicles </w:t>
            </w:r>
          </w:p>
        </w:tc>
        <w:tc>
          <w:tcPr>
            <w:tcW w:w="1984" w:type="dxa"/>
          </w:tcPr>
          <w:p w:rsidR="007C1ACE" w:rsidRPr="00A463EB" w:rsidRDefault="007C1ACE" w:rsidP="00A463EB">
            <w:pPr>
              <w:jc w:val="both"/>
              <w:rPr>
                <w:sz w:val="20"/>
              </w:rPr>
            </w:pPr>
            <w:r w:rsidRPr="00A463EB">
              <w:rPr>
                <w:sz w:val="20"/>
              </w:rPr>
              <w:t xml:space="preserve">All visitors at risk of injury from </w:t>
            </w:r>
            <w:proofErr w:type="gramStart"/>
            <w:r w:rsidRPr="00A463EB">
              <w:rPr>
                <w:sz w:val="20"/>
              </w:rPr>
              <w:t>contact  with</w:t>
            </w:r>
            <w:proofErr w:type="gramEnd"/>
            <w:r w:rsidRPr="00A463EB">
              <w:rPr>
                <w:sz w:val="20"/>
              </w:rPr>
              <w:t xml:space="preserve"> moving vehicles. </w:t>
            </w:r>
          </w:p>
        </w:tc>
        <w:tc>
          <w:tcPr>
            <w:tcW w:w="6237" w:type="dxa"/>
          </w:tcPr>
          <w:p w:rsidR="007C1ACE" w:rsidRPr="00A463EB" w:rsidRDefault="007C1ACE" w:rsidP="00A463EB">
            <w:pPr>
              <w:jc w:val="both"/>
              <w:rPr>
                <w:sz w:val="20"/>
              </w:rPr>
            </w:pPr>
            <w:r w:rsidRPr="00A463EB">
              <w:rPr>
                <w:sz w:val="20"/>
              </w:rPr>
              <w:t>The University Organiser will made arrangements for reception and departure, including vehicle parking or drop off, to be separate from areas where vehicles are manoeuvring and reversing</w:t>
            </w:r>
            <w:r w:rsidR="0025485F">
              <w:rPr>
                <w:sz w:val="20"/>
              </w:rPr>
              <w:t xml:space="preserve">. </w:t>
            </w:r>
            <w:r w:rsidRPr="00A463EB">
              <w:rPr>
                <w:sz w:val="20"/>
              </w:rPr>
              <w:t xml:space="preserve">This information will be passed to the Visitors Organiser.   </w:t>
            </w:r>
          </w:p>
          <w:p w:rsidR="007C1ACE" w:rsidRPr="00A463EB" w:rsidRDefault="007C1ACE" w:rsidP="00A463EB">
            <w:pPr>
              <w:jc w:val="both"/>
              <w:rPr>
                <w:sz w:val="20"/>
              </w:rPr>
            </w:pPr>
          </w:p>
          <w:p w:rsidR="007C1ACE" w:rsidRPr="00A463EB" w:rsidRDefault="007C1ACE" w:rsidP="00B12067">
            <w:pPr>
              <w:jc w:val="both"/>
              <w:rPr>
                <w:sz w:val="20"/>
              </w:rPr>
            </w:pPr>
            <w:r w:rsidRPr="00A463EB">
              <w:rPr>
                <w:sz w:val="20"/>
              </w:rPr>
              <w:t xml:space="preserve">If visit involves crossing highways, car parks or delivery areas within campus, the </w:t>
            </w:r>
            <w:r w:rsidR="00B12067">
              <w:rPr>
                <w:sz w:val="20"/>
              </w:rPr>
              <w:t>Visitor O</w:t>
            </w:r>
            <w:r w:rsidRPr="00A463EB">
              <w:rPr>
                <w:sz w:val="20"/>
              </w:rPr>
              <w:t xml:space="preserve">rganisers will need to consider the safest route, and make suitable arrangements to ensure adequate supervision of the group. </w:t>
            </w:r>
          </w:p>
        </w:tc>
        <w:tc>
          <w:tcPr>
            <w:tcW w:w="1622" w:type="dxa"/>
          </w:tcPr>
          <w:p w:rsidR="007C1ACE" w:rsidRPr="00A463EB" w:rsidRDefault="007C1ACE" w:rsidP="00A463EB">
            <w:pPr>
              <w:jc w:val="both"/>
              <w:rPr>
                <w:sz w:val="20"/>
              </w:rPr>
            </w:pPr>
            <w:r w:rsidRPr="00A463EB">
              <w:rPr>
                <w:sz w:val="20"/>
              </w:rPr>
              <w:lastRenderedPageBreak/>
              <w:t>Low</w:t>
            </w:r>
          </w:p>
        </w:tc>
        <w:tc>
          <w:tcPr>
            <w:tcW w:w="1185" w:type="dxa"/>
          </w:tcPr>
          <w:p w:rsidR="007C1ACE" w:rsidRPr="00A463EB" w:rsidRDefault="007C1ACE" w:rsidP="00A463EB">
            <w:pPr>
              <w:jc w:val="both"/>
              <w:rPr>
                <w:sz w:val="20"/>
              </w:rPr>
            </w:pPr>
            <w:r w:rsidRPr="00A463EB">
              <w:rPr>
                <w:sz w:val="20"/>
              </w:rPr>
              <w:t>A</w:t>
            </w:r>
          </w:p>
        </w:tc>
      </w:tr>
      <w:tr w:rsidR="007C1ACE" w:rsidRPr="00A463EB" w:rsidTr="008B44CF">
        <w:trPr>
          <w:jc w:val="center"/>
        </w:trPr>
        <w:tc>
          <w:tcPr>
            <w:tcW w:w="1896" w:type="dxa"/>
          </w:tcPr>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t>Electrical hazards</w:t>
            </w:r>
          </w:p>
        </w:tc>
        <w:tc>
          <w:tcPr>
            <w:tcW w:w="1984" w:type="dxa"/>
          </w:tcPr>
          <w:p w:rsidR="007C1ACE" w:rsidRPr="00A463EB" w:rsidRDefault="007C1ACE" w:rsidP="00A463EB">
            <w:pPr>
              <w:jc w:val="both"/>
              <w:rPr>
                <w:sz w:val="20"/>
              </w:rPr>
            </w:pPr>
            <w:r w:rsidRPr="00A463EB">
              <w:rPr>
                <w:sz w:val="20"/>
              </w:rPr>
              <w:t xml:space="preserve">All visitors at risk of electric shock or fire caused by defective electrical equipment in general use (eg light switches).   </w:t>
            </w:r>
          </w:p>
        </w:tc>
        <w:tc>
          <w:tcPr>
            <w:tcW w:w="6237" w:type="dxa"/>
          </w:tcPr>
          <w:p w:rsidR="007C1ACE" w:rsidRPr="00A463EB" w:rsidRDefault="007C1ACE" w:rsidP="00A463EB">
            <w:pPr>
              <w:jc w:val="both"/>
              <w:rPr>
                <w:sz w:val="20"/>
              </w:rPr>
            </w:pPr>
            <w:r w:rsidRPr="00A463EB">
              <w:rPr>
                <w:sz w:val="20"/>
              </w:rPr>
              <w:t xml:space="preserve">Equipment in common usage (light fittings and basic installation) maintained by Estates.  </w:t>
            </w:r>
          </w:p>
          <w:p w:rsidR="007C1ACE" w:rsidRPr="00A463EB" w:rsidRDefault="007C1ACE" w:rsidP="00A463EB">
            <w:pPr>
              <w:jc w:val="both"/>
              <w:rPr>
                <w:sz w:val="20"/>
              </w:rPr>
            </w:pPr>
          </w:p>
          <w:p w:rsidR="007C1ACE" w:rsidRPr="00A463EB" w:rsidRDefault="006827C2" w:rsidP="00A463EB">
            <w:pPr>
              <w:jc w:val="both"/>
              <w:rPr>
                <w:sz w:val="20"/>
              </w:rPr>
            </w:pPr>
            <w:r>
              <w:rPr>
                <w:sz w:val="20"/>
              </w:rPr>
              <w:t>All experimental equipment used in the demonstrations is subject to annual PAT testing and visual inspection before use. Any damaged equipment will be removed from use and sent for repair.</w:t>
            </w:r>
          </w:p>
          <w:p w:rsidR="007C1ACE" w:rsidRPr="00A463EB" w:rsidRDefault="007C1ACE" w:rsidP="00A463EB">
            <w:pPr>
              <w:jc w:val="both"/>
              <w:rPr>
                <w:sz w:val="20"/>
              </w:rPr>
            </w:pPr>
          </w:p>
        </w:tc>
        <w:tc>
          <w:tcPr>
            <w:tcW w:w="1622" w:type="dxa"/>
          </w:tcPr>
          <w:p w:rsidR="007C1ACE" w:rsidRPr="00A463EB" w:rsidRDefault="007C1ACE" w:rsidP="00A463EB">
            <w:pPr>
              <w:jc w:val="both"/>
              <w:rPr>
                <w:sz w:val="20"/>
              </w:rPr>
            </w:pPr>
            <w:r w:rsidRPr="00A463EB">
              <w:rPr>
                <w:sz w:val="20"/>
              </w:rPr>
              <w:t>Low</w:t>
            </w:r>
          </w:p>
        </w:tc>
        <w:tc>
          <w:tcPr>
            <w:tcW w:w="1185" w:type="dxa"/>
          </w:tcPr>
          <w:p w:rsidR="007C1ACE" w:rsidRPr="00A463EB" w:rsidRDefault="007C1ACE" w:rsidP="00A463EB">
            <w:pPr>
              <w:jc w:val="both"/>
              <w:rPr>
                <w:sz w:val="20"/>
              </w:rPr>
            </w:pPr>
            <w:r w:rsidRPr="00A463EB">
              <w:rPr>
                <w:sz w:val="20"/>
              </w:rPr>
              <w:t>A</w:t>
            </w:r>
          </w:p>
        </w:tc>
      </w:tr>
      <w:tr w:rsidR="007C1ACE" w:rsidRPr="00A463EB" w:rsidTr="008B44CF">
        <w:trPr>
          <w:jc w:val="center"/>
        </w:trPr>
        <w:tc>
          <w:tcPr>
            <w:tcW w:w="1896" w:type="dxa"/>
          </w:tcPr>
          <w:p w:rsidR="007C1ACE" w:rsidRPr="00A463EB" w:rsidRDefault="007C1ACE" w:rsidP="00A463EB">
            <w:pPr>
              <w:jc w:val="both"/>
              <w:rPr>
                <w:sz w:val="20"/>
              </w:rPr>
            </w:pPr>
          </w:p>
          <w:p w:rsidR="007C1ACE" w:rsidRPr="00A463EB" w:rsidRDefault="007C1ACE" w:rsidP="00A463EB">
            <w:pPr>
              <w:jc w:val="both"/>
              <w:rPr>
                <w:sz w:val="20"/>
              </w:rPr>
            </w:pPr>
          </w:p>
        </w:tc>
        <w:tc>
          <w:tcPr>
            <w:tcW w:w="1912" w:type="dxa"/>
          </w:tcPr>
          <w:p w:rsidR="007C1ACE" w:rsidRPr="00A463EB" w:rsidRDefault="007C1ACE" w:rsidP="00A463EB">
            <w:pPr>
              <w:jc w:val="both"/>
              <w:rPr>
                <w:sz w:val="20"/>
              </w:rPr>
            </w:pPr>
            <w:r w:rsidRPr="00A463EB">
              <w:rPr>
                <w:sz w:val="20"/>
              </w:rPr>
              <w:t>Lost persons</w:t>
            </w:r>
          </w:p>
        </w:tc>
        <w:tc>
          <w:tcPr>
            <w:tcW w:w="1984" w:type="dxa"/>
          </w:tcPr>
          <w:p w:rsidR="007C1ACE" w:rsidRPr="00A463EB" w:rsidRDefault="007C1ACE" w:rsidP="0025485F">
            <w:pPr>
              <w:jc w:val="both"/>
              <w:rPr>
                <w:sz w:val="20"/>
              </w:rPr>
            </w:pPr>
            <w:r w:rsidRPr="00A463EB">
              <w:rPr>
                <w:sz w:val="20"/>
              </w:rPr>
              <w:t xml:space="preserve">All visitors at risk of distress if lost in </w:t>
            </w:r>
            <w:r w:rsidR="0025485F">
              <w:rPr>
                <w:sz w:val="20"/>
              </w:rPr>
              <w:t>the MIB</w:t>
            </w:r>
            <w:r w:rsidR="006827C2">
              <w:rPr>
                <w:sz w:val="20"/>
              </w:rPr>
              <w:t>; y</w:t>
            </w:r>
            <w:r w:rsidRPr="00A463EB">
              <w:rPr>
                <w:sz w:val="20"/>
              </w:rPr>
              <w:t xml:space="preserve">oung visitors particularly vulnerable. </w:t>
            </w:r>
          </w:p>
        </w:tc>
        <w:tc>
          <w:tcPr>
            <w:tcW w:w="6237" w:type="dxa"/>
          </w:tcPr>
          <w:p w:rsidR="007C1ACE" w:rsidRPr="00A463EB" w:rsidRDefault="007C1ACE" w:rsidP="00A463EB">
            <w:pPr>
              <w:jc w:val="both"/>
              <w:rPr>
                <w:sz w:val="20"/>
              </w:rPr>
            </w:pPr>
            <w:r w:rsidRPr="00A463EB">
              <w:rPr>
                <w:sz w:val="20"/>
              </w:rPr>
              <w:t xml:space="preserve">The University and Visitors organisers will have a list of attendees, and account for them </w:t>
            </w:r>
            <w:r w:rsidR="0025485F">
              <w:rPr>
                <w:sz w:val="20"/>
              </w:rPr>
              <w:t xml:space="preserve">at the beginning of each activity (lab tour, demonstrations in Atrium, lunch, </w:t>
            </w:r>
            <w:proofErr w:type="spellStart"/>
            <w:r w:rsidR="0025485F">
              <w:rPr>
                <w:sz w:val="20"/>
              </w:rPr>
              <w:t>etc</w:t>
            </w:r>
            <w:proofErr w:type="spellEnd"/>
            <w:r w:rsidR="00B12067">
              <w:rPr>
                <w:sz w:val="20"/>
              </w:rPr>
              <w:t>)</w:t>
            </w:r>
            <w:r w:rsidR="0025485F">
              <w:rPr>
                <w:sz w:val="20"/>
              </w:rPr>
              <w:t xml:space="preserve">; </w:t>
            </w:r>
            <w:r w:rsidRPr="00A463EB">
              <w:rPr>
                <w:sz w:val="20"/>
              </w:rPr>
              <w:t>this doesn’t need to be a formal roll call, but should satisfy the organisers that no-one is missing.</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 xml:space="preserve">In the event that someone does get lost, Organisers will exchange information about all </w:t>
            </w:r>
            <w:r w:rsidR="0025485F">
              <w:rPr>
                <w:sz w:val="20"/>
              </w:rPr>
              <w:t>areas of the MIB visited</w:t>
            </w:r>
            <w:r w:rsidRPr="00A463EB">
              <w:rPr>
                <w:sz w:val="20"/>
              </w:rPr>
              <w:t xml:space="preserve"> so that a search </w:t>
            </w:r>
            <w:r w:rsidR="0025485F">
              <w:rPr>
                <w:sz w:val="20"/>
              </w:rPr>
              <w:t xml:space="preserve">can be completed </w:t>
            </w:r>
            <w:r w:rsidRPr="00A463EB">
              <w:rPr>
                <w:sz w:val="20"/>
              </w:rPr>
              <w:t xml:space="preserve">quickly and effectively.  </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Means of communications between parties will be mob</w:t>
            </w:r>
            <w:r w:rsidR="0025485F">
              <w:rPr>
                <w:sz w:val="20"/>
              </w:rPr>
              <w:t>ile phone</w:t>
            </w:r>
            <w:r w:rsidRPr="00A463EB">
              <w:rPr>
                <w:sz w:val="20"/>
              </w:rPr>
              <w:t>.</w:t>
            </w:r>
            <w:r w:rsidR="0025485F">
              <w:rPr>
                <w:sz w:val="20"/>
              </w:rPr>
              <w:t xml:space="preserve"> A list of key contact</w:t>
            </w:r>
            <w:r w:rsidR="0011391E">
              <w:rPr>
                <w:sz w:val="20"/>
              </w:rPr>
              <w:t>s (</w:t>
            </w:r>
            <w:r w:rsidR="00B12067">
              <w:rPr>
                <w:sz w:val="20"/>
              </w:rPr>
              <w:t xml:space="preserve">e.g. </w:t>
            </w:r>
            <w:r w:rsidR="0011391E">
              <w:rPr>
                <w:sz w:val="20"/>
              </w:rPr>
              <w:t>University Organiser) and Visitors Organiser mobile phone numbers</w:t>
            </w:r>
            <w:r w:rsidR="0025485F">
              <w:rPr>
                <w:sz w:val="20"/>
              </w:rPr>
              <w:t xml:space="preserve"> will be held at Reception and by the University Organiser.</w:t>
            </w:r>
            <w:r w:rsidRPr="00A463EB">
              <w:rPr>
                <w:sz w:val="20"/>
              </w:rPr>
              <w:t xml:space="preserve">  </w:t>
            </w:r>
          </w:p>
          <w:p w:rsidR="007C1ACE" w:rsidRPr="00A463EB" w:rsidRDefault="007C1ACE" w:rsidP="00A463EB">
            <w:pPr>
              <w:jc w:val="both"/>
              <w:rPr>
                <w:sz w:val="20"/>
              </w:rPr>
            </w:pPr>
          </w:p>
          <w:p w:rsidR="007C1ACE" w:rsidRPr="00A463EB" w:rsidRDefault="007C1ACE" w:rsidP="00A463EB">
            <w:pPr>
              <w:jc w:val="both"/>
              <w:rPr>
                <w:sz w:val="20"/>
              </w:rPr>
            </w:pPr>
            <w:r w:rsidRPr="00A463EB">
              <w:rPr>
                <w:sz w:val="20"/>
              </w:rPr>
              <w:t>Means of notifying Security in the event of a more serious situation will be</w:t>
            </w:r>
            <w:r w:rsidR="0011391E">
              <w:rPr>
                <w:sz w:val="20"/>
              </w:rPr>
              <w:t xml:space="preserve"> via MIB Reception (tel. 306 5200)</w:t>
            </w:r>
            <w:r w:rsidRPr="00A463EB">
              <w:rPr>
                <w:sz w:val="20"/>
              </w:rPr>
              <w:t xml:space="preserve">. </w:t>
            </w:r>
          </w:p>
          <w:p w:rsidR="007C1ACE" w:rsidRPr="00A463EB" w:rsidRDefault="007C1ACE" w:rsidP="00A463EB">
            <w:pPr>
              <w:jc w:val="both"/>
              <w:rPr>
                <w:sz w:val="20"/>
              </w:rPr>
            </w:pPr>
          </w:p>
        </w:tc>
        <w:tc>
          <w:tcPr>
            <w:tcW w:w="1622" w:type="dxa"/>
          </w:tcPr>
          <w:p w:rsidR="007C1ACE" w:rsidRPr="00A463EB" w:rsidRDefault="007C1ACE" w:rsidP="00A463EB">
            <w:pPr>
              <w:jc w:val="both"/>
              <w:rPr>
                <w:sz w:val="20"/>
              </w:rPr>
            </w:pPr>
            <w:r w:rsidRPr="00A463EB">
              <w:rPr>
                <w:sz w:val="20"/>
              </w:rPr>
              <w:t>Low</w:t>
            </w:r>
          </w:p>
        </w:tc>
        <w:tc>
          <w:tcPr>
            <w:tcW w:w="1185" w:type="dxa"/>
          </w:tcPr>
          <w:p w:rsidR="007C1ACE" w:rsidRPr="00A463EB" w:rsidRDefault="007C1ACE" w:rsidP="00A463EB">
            <w:pPr>
              <w:jc w:val="both"/>
              <w:rPr>
                <w:sz w:val="20"/>
              </w:rPr>
            </w:pPr>
            <w:r w:rsidRPr="00A463EB">
              <w:rPr>
                <w:sz w:val="20"/>
              </w:rPr>
              <w:t>A</w:t>
            </w:r>
          </w:p>
        </w:tc>
      </w:tr>
      <w:tr w:rsidR="007C1ACE" w:rsidRPr="00A463EB" w:rsidTr="008B44CF">
        <w:trPr>
          <w:trHeight w:val="3351"/>
          <w:jc w:val="center"/>
        </w:trPr>
        <w:tc>
          <w:tcPr>
            <w:tcW w:w="1896" w:type="dxa"/>
          </w:tcPr>
          <w:p w:rsidR="007C1ACE" w:rsidRPr="00A463EB" w:rsidRDefault="0011391E" w:rsidP="00A463EB">
            <w:pPr>
              <w:jc w:val="both"/>
              <w:rPr>
                <w:sz w:val="20"/>
              </w:rPr>
            </w:pPr>
            <w:r>
              <w:rPr>
                <w:sz w:val="20"/>
              </w:rPr>
              <w:lastRenderedPageBreak/>
              <w:t>Participation in experiment demonstrations in MIB Atrium</w:t>
            </w:r>
          </w:p>
        </w:tc>
        <w:tc>
          <w:tcPr>
            <w:tcW w:w="1912" w:type="dxa"/>
          </w:tcPr>
          <w:p w:rsidR="00E97D42" w:rsidRPr="006827C2" w:rsidRDefault="007C1ACE" w:rsidP="00E97D42">
            <w:pPr>
              <w:pStyle w:val="ListParagraph"/>
              <w:numPr>
                <w:ilvl w:val="0"/>
                <w:numId w:val="5"/>
              </w:numPr>
              <w:ind w:left="114" w:hanging="114"/>
              <w:jc w:val="both"/>
              <w:rPr>
                <w:sz w:val="20"/>
              </w:rPr>
            </w:pPr>
            <w:r w:rsidRPr="006827C2">
              <w:rPr>
                <w:sz w:val="20"/>
              </w:rPr>
              <w:t>exposure to substances hazardous to health</w:t>
            </w:r>
            <w:r w:rsidR="0011391E" w:rsidRPr="006827C2">
              <w:rPr>
                <w:sz w:val="20"/>
              </w:rPr>
              <w:t xml:space="preserve"> (chemicals, biological material)</w:t>
            </w:r>
          </w:p>
          <w:p w:rsidR="007C1ACE" w:rsidRPr="006827C2" w:rsidRDefault="00E97D42" w:rsidP="00E97D42">
            <w:pPr>
              <w:pStyle w:val="ListParagraph"/>
              <w:numPr>
                <w:ilvl w:val="0"/>
                <w:numId w:val="5"/>
              </w:numPr>
              <w:ind w:left="114" w:hanging="114"/>
              <w:jc w:val="both"/>
              <w:rPr>
                <w:sz w:val="20"/>
              </w:rPr>
            </w:pPr>
            <w:r w:rsidRPr="006827C2">
              <w:rPr>
                <w:sz w:val="20"/>
              </w:rPr>
              <w:t>peanuts</w:t>
            </w:r>
          </w:p>
          <w:p w:rsidR="007C1ACE" w:rsidRPr="00A463EB" w:rsidRDefault="007C1ACE" w:rsidP="0011391E">
            <w:pPr>
              <w:ind w:left="176"/>
              <w:jc w:val="both"/>
              <w:rPr>
                <w:sz w:val="20"/>
              </w:rPr>
            </w:pPr>
          </w:p>
          <w:p w:rsidR="007C1ACE" w:rsidRPr="00A463EB" w:rsidRDefault="007C1ACE" w:rsidP="00A463EB">
            <w:pPr>
              <w:jc w:val="both"/>
              <w:rPr>
                <w:sz w:val="20"/>
              </w:rPr>
            </w:pPr>
          </w:p>
          <w:p w:rsidR="007C1ACE" w:rsidRPr="00A463EB" w:rsidRDefault="007C1ACE" w:rsidP="00A463EB">
            <w:pPr>
              <w:ind w:left="360"/>
              <w:jc w:val="both"/>
              <w:rPr>
                <w:sz w:val="20"/>
              </w:rPr>
            </w:pPr>
          </w:p>
        </w:tc>
        <w:tc>
          <w:tcPr>
            <w:tcW w:w="1984" w:type="dxa"/>
          </w:tcPr>
          <w:p w:rsidR="007C1ACE" w:rsidRPr="00A463EB" w:rsidRDefault="007C1ACE" w:rsidP="006827C2">
            <w:pPr>
              <w:jc w:val="both"/>
              <w:rPr>
                <w:sz w:val="20"/>
              </w:rPr>
            </w:pPr>
            <w:r w:rsidRPr="006827C2">
              <w:rPr>
                <w:sz w:val="20"/>
              </w:rPr>
              <w:t xml:space="preserve">All visitors </w:t>
            </w:r>
          </w:p>
        </w:tc>
        <w:tc>
          <w:tcPr>
            <w:tcW w:w="6237" w:type="dxa"/>
          </w:tcPr>
          <w:p w:rsidR="0011391E" w:rsidRDefault="0011391E" w:rsidP="001958BD">
            <w:pPr>
              <w:jc w:val="both"/>
              <w:rPr>
                <w:sz w:val="20"/>
              </w:rPr>
            </w:pPr>
            <w:r>
              <w:rPr>
                <w:sz w:val="20"/>
              </w:rPr>
              <w:t xml:space="preserve">All experimental demonstrations held in the MIB Atrium, and will be conducted by an experienced member of the MIB research community (Ph. D. Student, post-doc, etc). </w:t>
            </w:r>
          </w:p>
          <w:p w:rsidR="0011391E" w:rsidRDefault="0011391E" w:rsidP="00A463EB">
            <w:pPr>
              <w:jc w:val="both"/>
              <w:rPr>
                <w:sz w:val="20"/>
              </w:rPr>
            </w:pPr>
          </w:p>
          <w:p w:rsidR="007C1ACE" w:rsidRDefault="0011391E" w:rsidP="00A463EB">
            <w:pPr>
              <w:jc w:val="both"/>
              <w:rPr>
                <w:sz w:val="20"/>
              </w:rPr>
            </w:pPr>
            <w:r>
              <w:rPr>
                <w:sz w:val="20"/>
              </w:rPr>
              <w:t xml:space="preserve">All experimental demonstrations will be risk assessed separately, and any specific hazards/control measures will be clearly identified and communicated to all participants before the demonstration begins. Any </w:t>
            </w:r>
            <w:r w:rsidR="006827C2">
              <w:rPr>
                <w:sz w:val="20"/>
              </w:rPr>
              <w:t>necessary PPE (lab coats, safety</w:t>
            </w:r>
            <w:r>
              <w:rPr>
                <w:sz w:val="20"/>
              </w:rPr>
              <w:t xml:space="preserve"> glasses, etc) will be provided, and must be worn before the demonstration begins.</w:t>
            </w:r>
          </w:p>
          <w:p w:rsidR="006827C2" w:rsidRDefault="006827C2" w:rsidP="00A463EB">
            <w:pPr>
              <w:jc w:val="both"/>
              <w:rPr>
                <w:sz w:val="20"/>
              </w:rPr>
            </w:pPr>
          </w:p>
          <w:p w:rsidR="007C1ACE" w:rsidRPr="00A463EB" w:rsidRDefault="006827C2" w:rsidP="00B12067">
            <w:pPr>
              <w:jc w:val="both"/>
              <w:rPr>
                <w:sz w:val="20"/>
              </w:rPr>
            </w:pPr>
            <w:r w:rsidRPr="008B44CF">
              <w:rPr>
                <w:b/>
                <w:color w:val="FF0000"/>
                <w:sz w:val="20"/>
              </w:rPr>
              <w:t>One of the demonstrations involves detection of peanut allergens; peanuts will be present on the demonstration stand. All Visitors Organisers must inform the University Organiser if any members of their party have a peanut allergy</w:t>
            </w:r>
            <w:r w:rsidR="00B12067">
              <w:rPr>
                <w:b/>
                <w:color w:val="FF0000"/>
                <w:sz w:val="20"/>
              </w:rPr>
              <w:t xml:space="preserve"> or any other nut allergy</w:t>
            </w:r>
            <w:r>
              <w:rPr>
                <w:sz w:val="20"/>
              </w:rPr>
              <w:t xml:space="preserve">. </w:t>
            </w:r>
          </w:p>
        </w:tc>
        <w:tc>
          <w:tcPr>
            <w:tcW w:w="1622" w:type="dxa"/>
          </w:tcPr>
          <w:p w:rsidR="007C1ACE" w:rsidRPr="00A463EB" w:rsidRDefault="007C1ACE" w:rsidP="00A463EB">
            <w:pPr>
              <w:jc w:val="both"/>
              <w:rPr>
                <w:sz w:val="20"/>
              </w:rPr>
            </w:pPr>
          </w:p>
          <w:p w:rsidR="007C1ACE" w:rsidRDefault="007C1ACE" w:rsidP="00A463EB">
            <w:pPr>
              <w:jc w:val="both"/>
              <w:rPr>
                <w:sz w:val="20"/>
              </w:rPr>
            </w:pPr>
          </w:p>
          <w:p w:rsidR="00D11F7B" w:rsidRDefault="00D11F7B" w:rsidP="00A463EB">
            <w:pPr>
              <w:jc w:val="both"/>
              <w:rPr>
                <w:sz w:val="20"/>
              </w:rPr>
            </w:pPr>
          </w:p>
          <w:p w:rsidR="00D11F7B" w:rsidRPr="00A463EB" w:rsidRDefault="00D11F7B" w:rsidP="00A463EB">
            <w:pPr>
              <w:jc w:val="both"/>
              <w:rPr>
                <w:sz w:val="20"/>
              </w:rPr>
            </w:pPr>
          </w:p>
          <w:p w:rsidR="007C1ACE" w:rsidRDefault="007C1ACE" w:rsidP="00A463EB">
            <w:pPr>
              <w:jc w:val="both"/>
              <w:rPr>
                <w:sz w:val="20"/>
              </w:rPr>
            </w:pPr>
            <w:r w:rsidRPr="00A463EB">
              <w:rPr>
                <w:sz w:val="20"/>
              </w:rPr>
              <w:t>Low</w:t>
            </w: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Pr="00A463EB" w:rsidRDefault="006827C2" w:rsidP="00A463EB">
            <w:pPr>
              <w:jc w:val="both"/>
              <w:rPr>
                <w:sz w:val="20"/>
              </w:rPr>
            </w:pPr>
            <w:r>
              <w:rPr>
                <w:sz w:val="20"/>
              </w:rPr>
              <w:t>Low</w:t>
            </w:r>
          </w:p>
          <w:p w:rsidR="007C1ACE" w:rsidRPr="00A463EB" w:rsidRDefault="007C1ACE" w:rsidP="00A463EB">
            <w:pPr>
              <w:jc w:val="both"/>
              <w:rPr>
                <w:sz w:val="20"/>
              </w:rPr>
            </w:pPr>
          </w:p>
          <w:p w:rsidR="007C1ACE" w:rsidRPr="00A463EB" w:rsidRDefault="007C1ACE" w:rsidP="00A463EB">
            <w:pPr>
              <w:jc w:val="both"/>
              <w:rPr>
                <w:sz w:val="20"/>
              </w:rPr>
            </w:pPr>
          </w:p>
          <w:p w:rsidR="007C1ACE" w:rsidRPr="00A463EB" w:rsidRDefault="007C1ACE" w:rsidP="00A463EB">
            <w:pPr>
              <w:jc w:val="both"/>
              <w:rPr>
                <w:sz w:val="20"/>
              </w:rPr>
            </w:pPr>
          </w:p>
        </w:tc>
        <w:tc>
          <w:tcPr>
            <w:tcW w:w="1185" w:type="dxa"/>
          </w:tcPr>
          <w:p w:rsidR="007C1ACE" w:rsidRPr="00A463EB" w:rsidRDefault="007C1ACE" w:rsidP="00A463EB">
            <w:pPr>
              <w:jc w:val="both"/>
              <w:rPr>
                <w:sz w:val="20"/>
              </w:rPr>
            </w:pPr>
          </w:p>
          <w:p w:rsidR="007C1ACE" w:rsidRPr="00A463EB" w:rsidRDefault="007C1ACE" w:rsidP="00A463EB">
            <w:pPr>
              <w:jc w:val="both"/>
              <w:rPr>
                <w:sz w:val="20"/>
              </w:rPr>
            </w:pPr>
          </w:p>
          <w:p w:rsidR="007C1ACE" w:rsidRDefault="007C1ACE" w:rsidP="00A463EB">
            <w:pPr>
              <w:jc w:val="both"/>
              <w:rPr>
                <w:sz w:val="20"/>
              </w:rPr>
            </w:pPr>
          </w:p>
          <w:p w:rsidR="00D11F7B" w:rsidRDefault="00D11F7B" w:rsidP="00A463EB">
            <w:pPr>
              <w:jc w:val="both"/>
              <w:rPr>
                <w:sz w:val="20"/>
              </w:rPr>
            </w:pPr>
          </w:p>
          <w:p w:rsidR="00D11F7B" w:rsidRDefault="00D11F7B" w:rsidP="00A463EB">
            <w:pPr>
              <w:jc w:val="both"/>
              <w:rPr>
                <w:sz w:val="20"/>
              </w:rPr>
            </w:pPr>
            <w:r>
              <w:rPr>
                <w:sz w:val="20"/>
              </w:rPr>
              <w:t>A</w:t>
            </w: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Default="006827C2" w:rsidP="00A463EB">
            <w:pPr>
              <w:jc w:val="both"/>
              <w:rPr>
                <w:sz w:val="20"/>
              </w:rPr>
            </w:pPr>
          </w:p>
          <w:p w:rsidR="006827C2" w:rsidRPr="00A463EB" w:rsidRDefault="006827C2" w:rsidP="00A463EB">
            <w:pPr>
              <w:jc w:val="both"/>
              <w:rPr>
                <w:sz w:val="20"/>
              </w:rPr>
            </w:pPr>
            <w:r>
              <w:rPr>
                <w:sz w:val="20"/>
              </w:rPr>
              <w:t>A</w:t>
            </w:r>
          </w:p>
          <w:p w:rsidR="007C1ACE" w:rsidRPr="00A463EB" w:rsidRDefault="007C1ACE" w:rsidP="00A463EB">
            <w:pPr>
              <w:jc w:val="both"/>
              <w:rPr>
                <w:sz w:val="20"/>
              </w:rPr>
            </w:pPr>
          </w:p>
        </w:tc>
      </w:tr>
    </w:tbl>
    <w:p w:rsidR="007C1ACE" w:rsidRPr="00A463EB" w:rsidRDefault="007C1ACE" w:rsidP="00A463EB">
      <w:pPr>
        <w:jc w:val="both"/>
        <w:rPr>
          <w:sz w:val="20"/>
        </w:rPr>
      </w:pPr>
      <w:r w:rsidRPr="00A463EB">
        <w:rPr>
          <w:sz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9028"/>
        <w:gridCol w:w="1517"/>
        <w:gridCol w:w="1441"/>
        <w:gridCol w:w="1415"/>
      </w:tblGrid>
      <w:tr w:rsidR="007C1ACE" w:rsidRPr="00A463EB" w:rsidTr="006827C2">
        <w:trPr>
          <w:trHeight w:val="426"/>
        </w:trPr>
        <w:tc>
          <w:tcPr>
            <w:tcW w:w="14218" w:type="dxa"/>
            <w:gridSpan w:val="5"/>
            <w:shd w:val="clear" w:color="auto" w:fill="CCECFF"/>
          </w:tcPr>
          <w:p w:rsidR="007C1ACE" w:rsidRPr="00A463EB" w:rsidRDefault="006827C2" w:rsidP="00A463EB">
            <w:pPr>
              <w:jc w:val="both"/>
              <w:rPr>
                <w:b/>
                <w:sz w:val="20"/>
              </w:rPr>
            </w:pPr>
            <w:r>
              <w:rPr>
                <w:b/>
                <w:sz w:val="20"/>
              </w:rPr>
              <w:lastRenderedPageBreak/>
              <w:t>A</w:t>
            </w:r>
            <w:r w:rsidR="007C1ACE" w:rsidRPr="00A463EB">
              <w:rPr>
                <w:b/>
                <w:sz w:val="20"/>
              </w:rPr>
              <w:t>ction plan</w:t>
            </w:r>
          </w:p>
        </w:tc>
      </w:tr>
      <w:tr w:rsidR="007C1ACE" w:rsidRPr="00A463EB" w:rsidTr="006827C2">
        <w:tc>
          <w:tcPr>
            <w:tcW w:w="817" w:type="dxa"/>
            <w:shd w:val="clear" w:color="auto" w:fill="CCECFF"/>
          </w:tcPr>
          <w:p w:rsidR="007C1ACE" w:rsidRPr="00A463EB" w:rsidRDefault="007C1ACE" w:rsidP="00A463EB">
            <w:pPr>
              <w:jc w:val="both"/>
              <w:rPr>
                <w:b/>
                <w:sz w:val="20"/>
              </w:rPr>
            </w:pPr>
          </w:p>
        </w:tc>
        <w:tc>
          <w:tcPr>
            <w:tcW w:w="9028" w:type="dxa"/>
            <w:shd w:val="clear" w:color="auto" w:fill="CCECFF"/>
          </w:tcPr>
          <w:p w:rsidR="007C1ACE" w:rsidRPr="00A463EB" w:rsidRDefault="007C1ACE" w:rsidP="00A463EB">
            <w:pPr>
              <w:jc w:val="both"/>
              <w:rPr>
                <w:b/>
                <w:sz w:val="20"/>
              </w:rPr>
            </w:pPr>
            <w:r w:rsidRPr="00A463EB">
              <w:rPr>
                <w:b/>
                <w:sz w:val="20"/>
              </w:rPr>
              <w:t>Further action required</w:t>
            </w:r>
          </w:p>
        </w:tc>
        <w:tc>
          <w:tcPr>
            <w:tcW w:w="1517" w:type="dxa"/>
            <w:shd w:val="clear" w:color="auto" w:fill="CCECFF"/>
          </w:tcPr>
          <w:p w:rsidR="007C1ACE" w:rsidRPr="00A463EB" w:rsidRDefault="007C1ACE" w:rsidP="00A463EB">
            <w:pPr>
              <w:jc w:val="both"/>
              <w:rPr>
                <w:b/>
                <w:sz w:val="20"/>
              </w:rPr>
            </w:pPr>
            <w:r w:rsidRPr="00A463EB">
              <w:rPr>
                <w:b/>
                <w:sz w:val="20"/>
              </w:rPr>
              <w:t>Action by whom</w:t>
            </w:r>
          </w:p>
        </w:tc>
        <w:tc>
          <w:tcPr>
            <w:tcW w:w="1441" w:type="dxa"/>
            <w:shd w:val="clear" w:color="auto" w:fill="CCECFF"/>
          </w:tcPr>
          <w:p w:rsidR="007C1ACE" w:rsidRPr="00A463EB" w:rsidRDefault="007C1ACE" w:rsidP="00A463EB">
            <w:pPr>
              <w:jc w:val="both"/>
              <w:rPr>
                <w:b/>
                <w:sz w:val="20"/>
              </w:rPr>
            </w:pPr>
            <w:r w:rsidRPr="00A463EB">
              <w:rPr>
                <w:b/>
                <w:sz w:val="20"/>
              </w:rPr>
              <w:t>Action by when</w:t>
            </w:r>
          </w:p>
        </w:tc>
        <w:tc>
          <w:tcPr>
            <w:tcW w:w="1415" w:type="dxa"/>
            <w:shd w:val="clear" w:color="auto" w:fill="CCECFF"/>
          </w:tcPr>
          <w:p w:rsidR="007C1ACE" w:rsidRPr="00A463EB" w:rsidRDefault="007C1ACE" w:rsidP="00A463EB">
            <w:pPr>
              <w:jc w:val="both"/>
              <w:rPr>
                <w:b/>
                <w:sz w:val="20"/>
              </w:rPr>
            </w:pPr>
            <w:r w:rsidRPr="00A463EB">
              <w:rPr>
                <w:b/>
                <w:sz w:val="20"/>
              </w:rPr>
              <w:t>Done</w:t>
            </w:r>
          </w:p>
        </w:tc>
      </w:tr>
      <w:tr w:rsidR="007C1ACE" w:rsidRPr="00A463EB" w:rsidTr="00E97D42">
        <w:trPr>
          <w:trHeight w:val="679"/>
        </w:trPr>
        <w:tc>
          <w:tcPr>
            <w:tcW w:w="817" w:type="dxa"/>
          </w:tcPr>
          <w:p w:rsidR="007C1ACE" w:rsidRPr="00A463EB" w:rsidRDefault="007C1ACE" w:rsidP="00A463EB">
            <w:pPr>
              <w:numPr>
                <w:ilvl w:val="0"/>
                <w:numId w:val="3"/>
              </w:numPr>
              <w:tabs>
                <w:tab w:val="left" w:pos="221"/>
              </w:tabs>
              <w:jc w:val="both"/>
              <w:rPr>
                <w:sz w:val="20"/>
              </w:rPr>
            </w:pPr>
          </w:p>
        </w:tc>
        <w:tc>
          <w:tcPr>
            <w:tcW w:w="9028" w:type="dxa"/>
          </w:tcPr>
          <w:p w:rsidR="007C1ACE" w:rsidRPr="00A463EB" w:rsidRDefault="007C1ACE" w:rsidP="00A463EB">
            <w:pPr>
              <w:jc w:val="both"/>
              <w:rPr>
                <w:sz w:val="20"/>
              </w:rPr>
            </w:pPr>
            <w:r w:rsidRPr="00A463EB">
              <w:rPr>
                <w:sz w:val="20"/>
              </w:rPr>
              <w:t xml:space="preserve">All </w:t>
            </w:r>
            <w:r w:rsidR="002613B6">
              <w:rPr>
                <w:sz w:val="20"/>
              </w:rPr>
              <w:t>MIB</w:t>
            </w:r>
            <w:r w:rsidRPr="00A463EB">
              <w:rPr>
                <w:sz w:val="20"/>
              </w:rPr>
              <w:t xml:space="preserve"> staff</w:t>
            </w:r>
            <w:r w:rsidR="002613B6">
              <w:rPr>
                <w:sz w:val="20"/>
              </w:rPr>
              <w:t>/students</w:t>
            </w:r>
            <w:r w:rsidRPr="00A463EB">
              <w:rPr>
                <w:sz w:val="20"/>
              </w:rPr>
              <w:t xml:space="preserve"> involved in the event to be briefed about fire safety arrangements prior to the visit</w:t>
            </w:r>
          </w:p>
          <w:p w:rsidR="007C1ACE" w:rsidRPr="00A463EB" w:rsidRDefault="007C1ACE" w:rsidP="00A463EB">
            <w:pPr>
              <w:jc w:val="both"/>
              <w:rPr>
                <w:sz w:val="20"/>
              </w:rPr>
            </w:pPr>
          </w:p>
        </w:tc>
        <w:tc>
          <w:tcPr>
            <w:tcW w:w="1517" w:type="dxa"/>
          </w:tcPr>
          <w:p w:rsidR="007C1ACE" w:rsidRPr="00A463EB" w:rsidRDefault="00B12067" w:rsidP="00B12067">
            <w:pPr>
              <w:jc w:val="both"/>
              <w:rPr>
                <w:sz w:val="20"/>
              </w:rPr>
            </w:pPr>
            <w:r>
              <w:rPr>
                <w:sz w:val="20"/>
              </w:rPr>
              <w:t xml:space="preserve">University Organiser </w:t>
            </w:r>
          </w:p>
        </w:tc>
        <w:tc>
          <w:tcPr>
            <w:tcW w:w="1441" w:type="dxa"/>
          </w:tcPr>
          <w:p w:rsidR="007C1ACE" w:rsidRPr="00A463EB" w:rsidRDefault="001B1DC3" w:rsidP="00A463EB">
            <w:pPr>
              <w:jc w:val="both"/>
              <w:rPr>
                <w:sz w:val="20"/>
              </w:rPr>
            </w:pPr>
            <w:r>
              <w:rPr>
                <w:sz w:val="20"/>
              </w:rPr>
              <w:t>17 November 2016</w:t>
            </w:r>
          </w:p>
        </w:tc>
        <w:tc>
          <w:tcPr>
            <w:tcW w:w="1415" w:type="dxa"/>
          </w:tcPr>
          <w:p w:rsidR="007C1ACE" w:rsidRPr="00A463EB" w:rsidRDefault="007C1ACE" w:rsidP="00A463EB">
            <w:pPr>
              <w:jc w:val="both"/>
              <w:rPr>
                <w:sz w:val="20"/>
              </w:rPr>
            </w:pPr>
          </w:p>
        </w:tc>
      </w:tr>
      <w:tr w:rsidR="007C1ACE" w:rsidRPr="00A463EB" w:rsidTr="00E97D42">
        <w:trPr>
          <w:trHeight w:val="679"/>
        </w:trPr>
        <w:tc>
          <w:tcPr>
            <w:tcW w:w="817" w:type="dxa"/>
          </w:tcPr>
          <w:p w:rsidR="007C1ACE" w:rsidRPr="00A463EB" w:rsidRDefault="007C1ACE" w:rsidP="00A463EB">
            <w:pPr>
              <w:numPr>
                <w:ilvl w:val="0"/>
                <w:numId w:val="3"/>
              </w:numPr>
              <w:tabs>
                <w:tab w:val="clear" w:pos="720"/>
                <w:tab w:val="num" w:pos="0"/>
              </w:tabs>
              <w:jc w:val="both"/>
              <w:rPr>
                <w:sz w:val="20"/>
              </w:rPr>
            </w:pPr>
          </w:p>
        </w:tc>
        <w:tc>
          <w:tcPr>
            <w:tcW w:w="9028" w:type="dxa"/>
          </w:tcPr>
          <w:p w:rsidR="007C1ACE" w:rsidRPr="00A463EB" w:rsidRDefault="008F48D1" w:rsidP="00A463EB">
            <w:pPr>
              <w:jc w:val="both"/>
              <w:rPr>
                <w:sz w:val="20"/>
              </w:rPr>
            </w:pPr>
            <w:r>
              <w:rPr>
                <w:sz w:val="20"/>
              </w:rPr>
              <w:t>University Organiser</w:t>
            </w:r>
            <w:r w:rsidR="007C1ACE" w:rsidRPr="00A463EB">
              <w:rPr>
                <w:sz w:val="20"/>
              </w:rPr>
              <w:t xml:space="preserve"> </w:t>
            </w:r>
            <w:r w:rsidR="00AC54E9">
              <w:rPr>
                <w:sz w:val="20"/>
              </w:rPr>
              <w:t xml:space="preserve">or MIB Tour Guides </w:t>
            </w:r>
            <w:r w:rsidR="007C1ACE" w:rsidRPr="00A463EB">
              <w:rPr>
                <w:sz w:val="20"/>
              </w:rPr>
              <w:t xml:space="preserve">will provide information about fire and other relevant safety arrangements at induction.   </w:t>
            </w:r>
          </w:p>
          <w:p w:rsidR="007C1ACE" w:rsidRPr="00A463EB" w:rsidRDefault="007C1ACE" w:rsidP="00A463EB">
            <w:pPr>
              <w:jc w:val="both"/>
              <w:rPr>
                <w:sz w:val="20"/>
              </w:rPr>
            </w:pPr>
          </w:p>
        </w:tc>
        <w:tc>
          <w:tcPr>
            <w:tcW w:w="1517" w:type="dxa"/>
          </w:tcPr>
          <w:p w:rsidR="007C1ACE" w:rsidRPr="00A463EB" w:rsidRDefault="00B12067" w:rsidP="00B12067">
            <w:pPr>
              <w:jc w:val="both"/>
              <w:rPr>
                <w:sz w:val="20"/>
              </w:rPr>
            </w:pPr>
            <w:r>
              <w:rPr>
                <w:sz w:val="20"/>
              </w:rPr>
              <w:t>University Organiser</w:t>
            </w:r>
            <w:r>
              <w:rPr>
                <w:sz w:val="20"/>
              </w:rPr>
              <w:t xml:space="preserve"> </w:t>
            </w:r>
            <w:r w:rsidR="00AC54E9">
              <w:rPr>
                <w:sz w:val="20"/>
              </w:rPr>
              <w:t>/ MIB tour guides</w:t>
            </w:r>
          </w:p>
        </w:tc>
        <w:tc>
          <w:tcPr>
            <w:tcW w:w="1441" w:type="dxa"/>
          </w:tcPr>
          <w:p w:rsidR="007C1ACE" w:rsidRPr="00A463EB" w:rsidRDefault="001B1DC3" w:rsidP="00A463EB">
            <w:pPr>
              <w:jc w:val="both"/>
              <w:rPr>
                <w:sz w:val="20"/>
              </w:rPr>
            </w:pPr>
            <w:r>
              <w:rPr>
                <w:sz w:val="20"/>
              </w:rPr>
              <w:t>18 November 2016</w:t>
            </w:r>
          </w:p>
        </w:tc>
        <w:tc>
          <w:tcPr>
            <w:tcW w:w="1415" w:type="dxa"/>
          </w:tcPr>
          <w:p w:rsidR="007C1ACE" w:rsidRPr="00A463EB" w:rsidRDefault="007C1ACE" w:rsidP="00A463EB">
            <w:pPr>
              <w:jc w:val="both"/>
              <w:rPr>
                <w:sz w:val="20"/>
              </w:rPr>
            </w:pPr>
          </w:p>
        </w:tc>
      </w:tr>
      <w:tr w:rsidR="007C1ACE" w:rsidRPr="00A463EB" w:rsidTr="00E97D42">
        <w:trPr>
          <w:trHeight w:val="680"/>
        </w:trPr>
        <w:tc>
          <w:tcPr>
            <w:tcW w:w="817" w:type="dxa"/>
          </w:tcPr>
          <w:p w:rsidR="007C1ACE" w:rsidRPr="00A463EB" w:rsidRDefault="007C1ACE" w:rsidP="00A463EB">
            <w:pPr>
              <w:numPr>
                <w:ilvl w:val="0"/>
                <w:numId w:val="3"/>
              </w:numPr>
              <w:jc w:val="both"/>
              <w:rPr>
                <w:sz w:val="20"/>
              </w:rPr>
            </w:pPr>
          </w:p>
        </w:tc>
        <w:tc>
          <w:tcPr>
            <w:tcW w:w="9028" w:type="dxa"/>
          </w:tcPr>
          <w:p w:rsidR="007C1ACE" w:rsidRPr="00A463EB" w:rsidRDefault="007C1ACE" w:rsidP="00A463EB">
            <w:pPr>
              <w:jc w:val="both"/>
              <w:rPr>
                <w:sz w:val="20"/>
              </w:rPr>
            </w:pPr>
            <w:r w:rsidRPr="00A463EB">
              <w:rPr>
                <w:sz w:val="20"/>
              </w:rPr>
              <w:t xml:space="preserve">All visitors will be accompanied at all times when moving </w:t>
            </w:r>
            <w:r w:rsidR="008F48D1">
              <w:rPr>
                <w:sz w:val="20"/>
              </w:rPr>
              <w:t xml:space="preserve">around the MIB. This is to prevent access </w:t>
            </w:r>
            <w:r w:rsidRPr="00A463EB">
              <w:rPr>
                <w:sz w:val="20"/>
              </w:rPr>
              <w:t xml:space="preserve">to potentially unsafe </w:t>
            </w:r>
            <w:r w:rsidR="008F48D1">
              <w:rPr>
                <w:sz w:val="20"/>
              </w:rPr>
              <w:t xml:space="preserve">lab </w:t>
            </w:r>
            <w:r w:rsidRPr="00A463EB">
              <w:rPr>
                <w:sz w:val="20"/>
              </w:rPr>
              <w:t>areas.</w:t>
            </w:r>
          </w:p>
        </w:tc>
        <w:tc>
          <w:tcPr>
            <w:tcW w:w="1517" w:type="dxa"/>
          </w:tcPr>
          <w:p w:rsidR="007C1ACE" w:rsidRPr="00A463EB" w:rsidRDefault="008F48D1" w:rsidP="00A463EB">
            <w:pPr>
              <w:jc w:val="both"/>
              <w:rPr>
                <w:sz w:val="20"/>
              </w:rPr>
            </w:pPr>
            <w:r>
              <w:rPr>
                <w:sz w:val="20"/>
              </w:rPr>
              <w:t>MIB tour guides</w:t>
            </w:r>
          </w:p>
        </w:tc>
        <w:tc>
          <w:tcPr>
            <w:tcW w:w="1441" w:type="dxa"/>
          </w:tcPr>
          <w:p w:rsidR="007C1ACE" w:rsidRPr="00A463EB" w:rsidRDefault="001B1DC3" w:rsidP="00A463EB">
            <w:pPr>
              <w:jc w:val="both"/>
              <w:rPr>
                <w:sz w:val="20"/>
              </w:rPr>
            </w:pPr>
            <w:r>
              <w:rPr>
                <w:sz w:val="20"/>
              </w:rPr>
              <w:t>18 November 2016</w:t>
            </w:r>
          </w:p>
        </w:tc>
        <w:tc>
          <w:tcPr>
            <w:tcW w:w="1415" w:type="dxa"/>
          </w:tcPr>
          <w:p w:rsidR="007C1ACE" w:rsidRPr="00A463EB" w:rsidRDefault="007C1ACE" w:rsidP="00A463EB">
            <w:pPr>
              <w:jc w:val="both"/>
              <w:rPr>
                <w:sz w:val="20"/>
              </w:rPr>
            </w:pPr>
          </w:p>
        </w:tc>
      </w:tr>
      <w:tr w:rsidR="007C1ACE" w:rsidRPr="00A463EB" w:rsidTr="00E97D42">
        <w:trPr>
          <w:trHeight w:val="679"/>
        </w:trPr>
        <w:tc>
          <w:tcPr>
            <w:tcW w:w="817" w:type="dxa"/>
          </w:tcPr>
          <w:p w:rsidR="007C1ACE" w:rsidRPr="00A463EB" w:rsidRDefault="007C1ACE" w:rsidP="00A463EB">
            <w:pPr>
              <w:numPr>
                <w:ilvl w:val="0"/>
                <w:numId w:val="3"/>
              </w:numPr>
              <w:jc w:val="both"/>
              <w:rPr>
                <w:sz w:val="20"/>
              </w:rPr>
            </w:pPr>
          </w:p>
        </w:tc>
        <w:tc>
          <w:tcPr>
            <w:tcW w:w="9028" w:type="dxa"/>
          </w:tcPr>
          <w:p w:rsidR="007C1ACE" w:rsidRPr="00A463EB" w:rsidRDefault="008F48D1" w:rsidP="00A463EB">
            <w:pPr>
              <w:jc w:val="both"/>
              <w:rPr>
                <w:sz w:val="20"/>
              </w:rPr>
            </w:pPr>
            <w:r>
              <w:rPr>
                <w:sz w:val="20"/>
              </w:rPr>
              <w:t>A list of key contacts (</w:t>
            </w:r>
            <w:r w:rsidR="001B1DC3">
              <w:rPr>
                <w:sz w:val="20"/>
              </w:rPr>
              <w:t xml:space="preserve">e.g. </w:t>
            </w:r>
            <w:r>
              <w:rPr>
                <w:sz w:val="20"/>
              </w:rPr>
              <w:t xml:space="preserve">University Organiser) and Visitors Organiser mobile phone numbers will be held at Reception and by the University Organiser, which will be </w:t>
            </w:r>
            <w:r w:rsidR="000C437F">
              <w:rPr>
                <w:sz w:val="20"/>
              </w:rPr>
              <w:t>accessible</w:t>
            </w:r>
            <w:r w:rsidR="000C437F" w:rsidRPr="00A463EB">
              <w:rPr>
                <w:sz w:val="20"/>
              </w:rPr>
              <w:t xml:space="preserve"> throughout</w:t>
            </w:r>
            <w:r w:rsidR="007C1ACE" w:rsidRPr="00A463EB">
              <w:rPr>
                <w:sz w:val="20"/>
              </w:rPr>
              <w:t xml:space="preserve"> the day to deal with any problems that may arise.</w:t>
            </w:r>
          </w:p>
          <w:p w:rsidR="007C1ACE" w:rsidRPr="00A463EB" w:rsidRDefault="007C1ACE" w:rsidP="00A463EB">
            <w:pPr>
              <w:jc w:val="both"/>
              <w:rPr>
                <w:sz w:val="20"/>
              </w:rPr>
            </w:pPr>
          </w:p>
        </w:tc>
        <w:tc>
          <w:tcPr>
            <w:tcW w:w="1517" w:type="dxa"/>
          </w:tcPr>
          <w:p w:rsidR="007C1ACE" w:rsidRPr="00A463EB" w:rsidRDefault="00B12067" w:rsidP="00A463EB">
            <w:pPr>
              <w:jc w:val="both"/>
              <w:rPr>
                <w:sz w:val="20"/>
              </w:rPr>
            </w:pPr>
            <w:r>
              <w:rPr>
                <w:sz w:val="20"/>
              </w:rPr>
              <w:t>University Organiser</w:t>
            </w:r>
            <w:r w:rsidR="008F48D1">
              <w:rPr>
                <w:sz w:val="20"/>
              </w:rPr>
              <w:t xml:space="preserve"> to coordinate with Reception</w:t>
            </w:r>
          </w:p>
        </w:tc>
        <w:tc>
          <w:tcPr>
            <w:tcW w:w="1441" w:type="dxa"/>
          </w:tcPr>
          <w:p w:rsidR="007C1ACE" w:rsidRPr="00A463EB" w:rsidRDefault="001B1DC3" w:rsidP="00A463EB">
            <w:pPr>
              <w:jc w:val="both"/>
              <w:rPr>
                <w:sz w:val="20"/>
              </w:rPr>
            </w:pPr>
            <w:r>
              <w:rPr>
                <w:sz w:val="20"/>
              </w:rPr>
              <w:t>17 November 2016</w:t>
            </w:r>
          </w:p>
        </w:tc>
        <w:tc>
          <w:tcPr>
            <w:tcW w:w="1415" w:type="dxa"/>
          </w:tcPr>
          <w:p w:rsidR="007C1ACE" w:rsidRPr="00A463EB" w:rsidRDefault="007C1ACE" w:rsidP="00A463EB">
            <w:pPr>
              <w:jc w:val="both"/>
              <w:rPr>
                <w:sz w:val="20"/>
              </w:rPr>
            </w:pPr>
          </w:p>
        </w:tc>
      </w:tr>
      <w:tr w:rsidR="007C1ACE" w:rsidRPr="00A463EB" w:rsidTr="00E97D42">
        <w:trPr>
          <w:trHeight w:val="680"/>
        </w:trPr>
        <w:tc>
          <w:tcPr>
            <w:tcW w:w="817" w:type="dxa"/>
          </w:tcPr>
          <w:p w:rsidR="007C1ACE" w:rsidRPr="00A463EB" w:rsidRDefault="007C1ACE" w:rsidP="00A463EB">
            <w:pPr>
              <w:numPr>
                <w:ilvl w:val="0"/>
                <w:numId w:val="3"/>
              </w:numPr>
              <w:jc w:val="both"/>
              <w:rPr>
                <w:sz w:val="20"/>
              </w:rPr>
            </w:pPr>
          </w:p>
        </w:tc>
        <w:tc>
          <w:tcPr>
            <w:tcW w:w="9028" w:type="dxa"/>
          </w:tcPr>
          <w:p w:rsidR="007C1ACE" w:rsidRPr="00A463EB" w:rsidRDefault="007C1ACE" w:rsidP="00A463EB">
            <w:pPr>
              <w:jc w:val="both"/>
              <w:rPr>
                <w:sz w:val="20"/>
              </w:rPr>
            </w:pPr>
            <w:r w:rsidRPr="00A463EB">
              <w:rPr>
                <w:sz w:val="20"/>
              </w:rPr>
              <w:t xml:space="preserve">Areas where events are to take place are to be inspected by </w:t>
            </w:r>
            <w:r w:rsidR="008F48D1">
              <w:rPr>
                <w:sz w:val="20"/>
              </w:rPr>
              <w:t>University Organiser</w:t>
            </w:r>
            <w:r w:rsidRPr="00A463EB">
              <w:rPr>
                <w:sz w:val="20"/>
              </w:rPr>
              <w:t xml:space="preserve"> before the event to check for any defects or conditions that might give rise to slips, trips or falls.  Any problems identified will need prompt action.   </w:t>
            </w:r>
          </w:p>
          <w:p w:rsidR="007C1ACE" w:rsidRPr="00A463EB" w:rsidRDefault="007C1ACE" w:rsidP="00A463EB">
            <w:pPr>
              <w:jc w:val="both"/>
              <w:rPr>
                <w:sz w:val="20"/>
              </w:rPr>
            </w:pPr>
          </w:p>
        </w:tc>
        <w:tc>
          <w:tcPr>
            <w:tcW w:w="1517" w:type="dxa"/>
          </w:tcPr>
          <w:p w:rsidR="007C1ACE" w:rsidRPr="00A463EB" w:rsidRDefault="00B12067" w:rsidP="00A463EB">
            <w:pPr>
              <w:jc w:val="both"/>
              <w:rPr>
                <w:sz w:val="20"/>
              </w:rPr>
            </w:pPr>
            <w:r>
              <w:rPr>
                <w:sz w:val="20"/>
              </w:rPr>
              <w:t>University Organiser</w:t>
            </w:r>
          </w:p>
        </w:tc>
        <w:tc>
          <w:tcPr>
            <w:tcW w:w="1441" w:type="dxa"/>
          </w:tcPr>
          <w:p w:rsidR="007C1ACE" w:rsidRPr="00A463EB" w:rsidRDefault="001B1DC3" w:rsidP="00A463EB">
            <w:pPr>
              <w:jc w:val="both"/>
              <w:rPr>
                <w:sz w:val="20"/>
              </w:rPr>
            </w:pPr>
            <w:r>
              <w:rPr>
                <w:sz w:val="20"/>
              </w:rPr>
              <w:t>17 November 2016</w:t>
            </w:r>
          </w:p>
        </w:tc>
        <w:tc>
          <w:tcPr>
            <w:tcW w:w="1415" w:type="dxa"/>
          </w:tcPr>
          <w:p w:rsidR="007C1ACE" w:rsidRPr="00A463EB" w:rsidRDefault="007C1ACE" w:rsidP="00A463EB">
            <w:pPr>
              <w:jc w:val="both"/>
              <w:rPr>
                <w:sz w:val="20"/>
              </w:rPr>
            </w:pPr>
          </w:p>
        </w:tc>
      </w:tr>
      <w:tr w:rsidR="007C1ACE" w:rsidRPr="00A463EB" w:rsidTr="00E97D42">
        <w:trPr>
          <w:trHeight w:val="679"/>
        </w:trPr>
        <w:tc>
          <w:tcPr>
            <w:tcW w:w="817" w:type="dxa"/>
          </w:tcPr>
          <w:p w:rsidR="007C1ACE" w:rsidRPr="00A463EB" w:rsidRDefault="007C1ACE" w:rsidP="00A463EB">
            <w:pPr>
              <w:numPr>
                <w:ilvl w:val="0"/>
                <w:numId w:val="3"/>
              </w:numPr>
              <w:jc w:val="both"/>
              <w:rPr>
                <w:sz w:val="20"/>
              </w:rPr>
            </w:pPr>
          </w:p>
        </w:tc>
        <w:tc>
          <w:tcPr>
            <w:tcW w:w="9028" w:type="dxa"/>
          </w:tcPr>
          <w:p w:rsidR="007C1ACE" w:rsidRPr="00A463EB" w:rsidRDefault="007C1ACE" w:rsidP="00A463EB">
            <w:pPr>
              <w:jc w:val="both"/>
              <w:rPr>
                <w:sz w:val="20"/>
              </w:rPr>
            </w:pPr>
            <w:r w:rsidRPr="00A463EB">
              <w:rPr>
                <w:sz w:val="20"/>
              </w:rPr>
              <w:t xml:space="preserve">Risk assessments for individual </w:t>
            </w:r>
            <w:r w:rsidR="008F48D1">
              <w:rPr>
                <w:sz w:val="20"/>
              </w:rPr>
              <w:t>experimental demonstrations</w:t>
            </w:r>
            <w:r w:rsidRPr="00A463EB">
              <w:rPr>
                <w:sz w:val="20"/>
              </w:rPr>
              <w:t xml:space="preserve"> taking place </w:t>
            </w:r>
            <w:r w:rsidR="008F48D1">
              <w:rPr>
                <w:sz w:val="20"/>
              </w:rPr>
              <w:t xml:space="preserve">in the MIB atrium </w:t>
            </w:r>
            <w:r w:rsidRPr="00A463EB">
              <w:rPr>
                <w:sz w:val="20"/>
              </w:rPr>
              <w:t xml:space="preserve">must be carried out in advance of the visit </w:t>
            </w:r>
            <w:r w:rsidR="008F48D1">
              <w:rPr>
                <w:sz w:val="20"/>
              </w:rPr>
              <w:t>and authorised by the MIB Safety and Risk Manager. The University Organiser will ensure that all risk assessments are completed at l</w:t>
            </w:r>
            <w:r w:rsidR="000C437F">
              <w:rPr>
                <w:sz w:val="20"/>
              </w:rPr>
              <w:t>e</w:t>
            </w:r>
            <w:r w:rsidR="008F48D1">
              <w:rPr>
                <w:sz w:val="20"/>
              </w:rPr>
              <w:t xml:space="preserve">ast 1 week before the event; copies of the risk assessments will be available to the Visitors Organiser at Reception or from the University Organiser. </w:t>
            </w:r>
            <w:r w:rsidRPr="00A463EB">
              <w:rPr>
                <w:sz w:val="20"/>
              </w:rPr>
              <w:t xml:space="preserve">Control measures must be in place and fully operational, and checked by </w:t>
            </w:r>
            <w:r w:rsidR="008F48D1">
              <w:rPr>
                <w:sz w:val="20"/>
              </w:rPr>
              <w:t>the experimental demonstrator</w:t>
            </w:r>
            <w:r w:rsidRPr="00A463EB">
              <w:rPr>
                <w:sz w:val="20"/>
              </w:rPr>
              <w:t xml:space="preserve"> before use.    </w:t>
            </w:r>
          </w:p>
        </w:tc>
        <w:tc>
          <w:tcPr>
            <w:tcW w:w="1517" w:type="dxa"/>
          </w:tcPr>
          <w:p w:rsidR="007C1ACE" w:rsidRDefault="00B12067" w:rsidP="00A463EB">
            <w:pPr>
              <w:jc w:val="both"/>
              <w:rPr>
                <w:sz w:val="20"/>
              </w:rPr>
            </w:pPr>
            <w:r>
              <w:rPr>
                <w:sz w:val="20"/>
              </w:rPr>
              <w:t xml:space="preserve">Safety &amp; Risk Manager </w:t>
            </w:r>
            <w:r w:rsidR="00177503">
              <w:rPr>
                <w:sz w:val="20"/>
              </w:rPr>
              <w:t>/</w:t>
            </w:r>
            <w:r>
              <w:rPr>
                <w:sz w:val="20"/>
              </w:rPr>
              <w:t xml:space="preserve"> </w:t>
            </w:r>
            <w:r>
              <w:rPr>
                <w:sz w:val="20"/>
              </w:rPr>
              <w:t>University Organiser</w:t>
            </w:r>
            <w:r>
              <w:rPr>
                <w:sz w:val="20"/>
              </w:rPr>
              <w:t xml:space="preserve"> </w:t>
            </w:r>
            <w:r w:rsidR="008F48D1">
              <w:rPr>
                <w:sz w:val="20"/>
              </w:rPr>
              <w:t>/</w:t>
            </w:r>
          </w:p>
          <w:p w:rsidR="008F48D1" w:rsidRDefault="008F48D1" w:rsidP="00A463EB">
            <w:pPr>
              <w:jc w:val="both"/>
              <w:rPr>
                <w:sz w:val="20"/>
              </w:rPr>
            </w:pPr>
            <w:r>
              <w:rPr>
                <w:sz w:val="20"/>
              </w:rPr>
              <w:t>Reception</w:t>
            </w:r>
          </w:p>
          <w:p w:rsidR="008F48D1" w:rsidRPr="00A463EB" w:rsidRDefault="008F48D1" w:rsidP="00A463EB">
            <w:pPr>
              <w:jc w:val="both"/>
              <w:rPr>
                <w:sz w:val="20"/>
              </w:rPr>
            </w:pPr>
            <w:r>
              <w:rPr>
                <w:sz w:val="20"/>
              </w:rPr>
              <w:t>demonstrators</w:t>
            </w:r>
          </w:p>
        </w:tc>
        <w:tc>
          <w:tcPr>
            <w:tcW w:w="1441" w:type="dxa"/>
          </w:tcPr>
          <w:p w:rsidR="007C1ACE" w:rsidRPr="00A463EB" w:rsidRDefault="001B1DC3" w:rsidP="001B1DC3">
            <w:pPr>
              <w:jc w:val="both"/>
              <w:rPr>
                <w:sz w:val="20"/>
              </w:rPr>
            </w:pPr>
            <w:r>
              <w:rPr>
                <w:sz w:val="20"/>
              </w:rPr>
              <w:t>10 November 2016</w:t>
            </w:r>
          </w:p>
        </w:tc>
        <w:tc>
          <w:tcPr>
            <w:tcW w:w="1415" w:type="dxa"/>
          </w:tcPr>
          <w:p w:rsidR="007C1ACE" w:rsidRPr="00A463EB" w:rsidRDefault="007C1ACE" w:rsidP="00A463EB">
            <w:pPr>
              <w:jc w:val="both"/>
              <w:rPr>
                <w:sz w:val="20"/>
              </w:rPr>
            </w:pPr>
          </w:p>
        </w:tc>
      </w:tr>
      <w:tr w:rsidR="007C1ACE" w:rsidRPr="00A463EB" w:rsidTr="00E97D42">
        <w:trPr>
          <w:trHeight w:val="680"/>
        </w:trPr>
        <w:tc>
          <w:tcPr>
            <w:tcW w:w="817" w:type="dxa"/>
          </w:tcPr>
          <w:p w:rsidR="007C1ACE" w:rsidRPr="00A463EB" w:rsidRDefault="007C1ACE" w:rsidP="00A463EB">
            <w:pPr>
              <w:numPr>
                <w:ilvl w:val="0"/>
                <w:numId w:val="3"/>
              </w:numPr>
              <w:jc w:val="both"/>
              <w:rPr>
                <w:sz w:val="20"/>
              </w:rPr>
            </w:pPr>
          </w:p>
        </w:tc>
        <w:tc>
          <w:tcPr>
            <w:tcW w:w="9028" w:type="dxa"/>
          </w:tcPr>
          <w:p w:rsidR="007C1ACE" w:rsidRPr="00A463EB" w:rsidRDefault="007C1ACE" w:rsidP="00A463EB">
            <w:pPr>
              <w:jc w:val="both"/>
              <w:rPr>
                <w:sz w:val="20"/>
              </w:rPr>
            </w:pPr>
            <w:r w:rsidRPr="00A463EB">
              <w:rPr>
                <w:sz w:val="20"/>
              </w:rPr>
              <w:t>Any equipment, including electrical equipment to be used by the visitors, is subject to a current electrical safety test and visual check before use.</w:t>
            </w:r>
          </w:p>
          <w:p w:rsidR="007C1ACE" w:rsidRPr="00A463EB" w:rsidRDefault="007C1ACE" w:rsidP="00A463EB">
            <w:pPr>
              <w:jc w:val="both"/>
              <w:rPr>
                <w:sz w:val="20"/>
              </w:rPr>
            </w:pPr>
          </w:p>
        </w:tc>
        <w:tc>
          <w:tcPr>
            <w:tcW w:w="1517" w:type="dxa"/>
          </w:tcPr>
          <w:p w:rsidR="007C1ACE" w:rsidRPr="00A463EB" w:rsidRDefault="00B12067" w:rsidP="00A463EB">
            <w:pPr>
              <w:jc w:val="both"/>
              <w:rPr>
                <w:sz w:val="20"/>
              </w:rPr>
            </w:pPr>
            <w:r>
              <w:rPr>
                <w:sz w:val="20"/>
              </w:rPr>
              <w:t>University Organiser</w:t>
            </w:r>
          </w:p>
        </w:tc>
        <w:tc>
          <w:tcPr>
            <w:tcW w:w="1441" w:type="dxa"/>
          </w:tcPr>
          <w:p w:rsidR="007C1ACE" w:rsidRPr="00A463EB" w:rsidRDefault="001B1DC3" w:rsidP="00A463EB">
            <w:pPr>
              <w:jc w:val="both"/>
              <w:rPr>
                <w:sz w:val="20"/>
              </w:rPr>
            </w:pPr>
            <w:r>
              <w:rPr>
                <w:sz w:val="20"/>
              </w:rPr>
              <w:t>17 November 2016</w:t>
            </w:r>
          </w:p>
        </w:tc>
        <w:tc>
          <w:tcPr>
            <w:tcW w:w="1415" w:type="dxa"/>
          </w:tcPr>
          <w:p w:rsidR="007C1ACE" w:rsidRPr="00A463EB" w:rsidRDefault="007C1ACE" w:rsidP="00A463EB">
            <w:pPr>
              <w:jc w:val="both"/>
              <w:rPr>
                <w:sz w:val="20"/>
              </w:rPr>
            </w:pPr>
          </w:p>
        </w:tc>
      </w:tr>
    </w:tbl>
    <w:p w:rsidR="00E97D42" w:rsidRPr="00F01FAB" w:rsidRDefault="00E97D42" w:rsidP="00E97D42">
      <w:pPr>
        <w:jc w:val="both"/>
        <w:rPr>
          <w:sz w:val="22"/>
          <w:szCs w:val="22"/>
        </w:rPr>
      </w:pPr>
    </w:p>
    <w:p w:rsidR="006827C2" w:rsidRDefault="006827C2">
      <w:pPr>
        <w:spacing w:after="200" w:line="276" w:lineRule="auto"/>
        <w:rPr>
          <w:sz w:val="22"/>
          <w:szCs w:val="22"/>
        </w:rPr>
      </w:pPr>
      <w:r>
        <w:rPr>
          <w:sz w:val="22"/>
          <w:szCs w:val="22"/>
        </w:rPr>
        <w:br w:type="page"/>
      </w:r>
    </w:p>
    <w:p w:rsidR="00E97D42" w:rsidRPr="00F01FAB" w:rsidRDefault="00E97D42" w:rsidP="00E97D42">
      <w:pPr>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E97D42" w:rsidRPr="00C41195" w:rsidTr="00E97D42">
        <w:trPr>
          <w:trHeight w:val="577"/>
        </w:trPr>
        <w:tc>
          <w:tcPr>
            <w:tcW w:w="14218" w:type="dxa"/>
          </w:tcPr>
          <w:p w:rsidR="00E97D42" w:rsidRPr="00E97D42" w:rsidRDefault="00E97D42" w:rsidP="00E97D42">
            <w:pPr>
              <w:jc w:val="both"/>
              <w:rPr>
                <w:color w:val="FF0000"/>
                <w:sz w:val="20"/>
              </w:rPr>
            </w:pPr>
            <w:r w:rsidRPr="00E97D42">
              <w:rPr>
                <w:b/>
                <w:sz w:val="20"/>
                <w:u w:val="single"/>
              </w:rPr>
              <w:t>Confirmation by University Organiser</w:t>
            </w:r>
          </w:p>
          <w:p w:rsidR="00E97D42" w:rsidRPr="00E97D42" w:rsidRDefault="00E97D42" w:rsidP="00E97D42">
            <w:pPr>
              <w:jc w:val="both"/>
              <w:rPr>
                <w:b/>
                <w:sz w:val="20"/>
              </w:rPr>
            </w:pPr>
          </w:p>
          <w:p w:rsidR="00E97D42" w:rsidRPr="00E97D42" w:rsidRDefault="00E97D42" w:rsidP="00E97D42">
            <w:pPr>
              <w:jc w:val="both"/>
              <w:rPr>
                <w:sz w:val="20"/>
              </w:rPr>
            </w:pPr>
            <w:r w:rsidRPr="00E97D42">
              <w:rPr>
                <w:sz w:val="20"/>
              </w:rPr>
              <w:t xml:space="preserve">I confirm that I have considered and understand the hazards associated with this event. I will ensure that the control measures detailed above will be followed. A copy of this risk assessment and a list of event attendees will be retained for my records, and a copy sent to the Visitors Organiser. A signed copy of the risk assessment has been forwarded to Tanya Aspinall </w:t>
            </w:r>
            <w:r w:rsidR="001B1DC3">
              <w:rPr>
                <w:sz w:val="20"/>
              </w:rPr>
              <w:t xml:space="preserve">(MIB Safety &amp; Risk Manager) </w:t>
            </w:r>
            <w:r w:rsidRPr="00E97D42">
              <w:rPr>
                <w:sz w:val="20"/>
              </w:rPr>
              <w:t>for MIB records.</w:t>
            </w:r>
          </w:p>
          <w:p w:rsidR="00E97D42" w:rsidRPr="00E97D42" w:rsidRDefault="00E97D42" w:rsidP="00E97D42">
            <w:pPr>
              <w:jc w:val="both"/>
              <w:rPr>
                <w:sz w:val="20"/>
              </w:rPr>
            </w:pPr>
          </w:p>
          <w:p w:rsidR="00E97D42" w:rsidRPr="00E97D42" w:rsidRDefault="00E97D42" w:rsidP="00E97D42">
            <w:pPr>
              <w:jc w:val="both"/>
              <w:rPr>
                <w:sz w:val="20"/>
              </w:rPr>
            </w:pPr>
            <w:r w:rsidRPr="00E97D42">
              <w:rPr>
                <w:sz w:val="20"/>
              </w:rPr>
              <w:t>Print name:                                                                                  Signed:</w:t>
            </w:r>
          </w:p>
          <w:p w:rsidR="00E97D42" w:rsidRPr="00E97D42" w:rsidRDefault="00E97D42" w:rsidP="00E97D42">
            <w:pPr>
              <w:jc w:val="both"/>
              <w:rPr>
                <w:sz w:val="20"/>
              </w:rPr>
            </w:pPr>
          </w:p>
          <w:p w:rsidR="00E97D42" w:rsidRPr="00E97D42" w:rsidRDefault="00E97D42" w:rsidP="00E97D42">
            <w:pPr>
              <w:jc w:val="both"/>
              <w:rPr>
                <w:sz w:val="20"/>
              </w:rPr>
            </w:pPr>
            <w:r w:rsidRPr="00E97D42">
              <w:rPr>
                <w:sz w:val="20"/>
              </w:rPr>
              <w:t>Date:</w:t>
            </w:r>
          </w:p>
          <w:p w:rsidR="00E97D42" w:rsidRPr="00E97D42" w:rsidRDefault="00E97D42" w:rsidP="00E97D42">
            <w:pPr>
              <w:jc w:val="both"/>
              <w:rPr>
                <w:b/>
                <w:sz w:val="20"/>
              </w:rPr>
            </w:pPr>
          </w:p>
          <w:p w:rsidR="00E97D42" w:rsidRDefault="00E97D42" w:rsidP="00E97D42">
            <w:pPr>
              <w:jc w:val="both"/>
              <w:rPr>
                <w:b/>
                <w:sz w:val="20"/>
                <w:u w:val="single"/>
              </w:rPr>
            </w:pPr>
            <w:r w:rsidRPr="00E97D42">
              <w:rPr>
                <w:b/>
                <w:sz w:val="20"/>
                <w:u w:val="single"/>
              </w:rPr>
              <w:t>Confirmation by Visitors Organiser</w:t>
            </w:r>
          </w:p>
          <w:p w:rsidR="00E97D42" w:rsidRDefault="00E97D42" w:rsidP="00E97D42">
            <w:pPr>
              <w:jc w:val="both"/>
              <w:rPr>
                <w:sz w:val="20"/>
              </w:rPr>
            </w:pPr>
          </w:p>
          <w:p w:rsidR="00E97D42" w:rsidRDefault="00E97D42" w:rsidP="00E97D42">
            <w:pPr>
              <w:jc w:val="both"/>
              <w:rPr>
                <w:sz w:val="20"/>
              </w:rPr>
            </w:pPr>
            <w:r>
              <w:rPr>
                <w:sz w:val="20"/>
              </w:rPr>
              <w:t xml:space="preserve">I confirm that I have read and understood the risk assessment, and that details of the risks and control measures will be communicated to the students from my College/School, and that we will follow the control measures stated and any directions given to us by the University Organiser and MIB event coordinators. I will provide contact details to the University Organiser, and </w:t>
            </w:r>
            <w:r w:rsidR="006827C2">
              <w:rPr>
                <w:sz w:val="20"/>
              </w:rPr>
              <w:t xml:space="preserve">also inform them of </w:t>
            </w:r>
            <w:r>
              <w:rPr>
                <w:sz w:val="20"/>
              </w:rPr>
              <w:t>any students who have additional requirements (disability, food allergy, etc).</w:t>
            </w:r>
          </w:p>
          <w:p w:rsidR="00E97D42" w:rsidRDefault="00E97D42" w:rsidP="00E97D42">
            <w:pPr>
              <w:jc w:val="both"/>
              <w:rPr>
                <w:sz w:val="20"/>
              </w:rPr>
            </w:pPr>
          </w:p>
          <w:p w:rsidR="00E97D42" w:rsidRPr="00E97D42" w:rsidRDefault="00E97D42" w:rsidP="00E97D42">
            <w:pPr>
              <w:jc w:val="both"/>
              <w:rPr>
                <w:sz w:val="20"/>
              </w:rPr>
            </w:pPr>
            <w:r w:rsidRPr="00E97D42">
              <w:rPr>
                <w:sz w:val="20"/>
              </w:rPr>
              <w:t xml:space="preserve">Print name:   </w:t>
            </w:r>
            <w:r w:rsidR="00F4440A">
              <w:rPr>
                <w:sz w:val="20"/>
              </w:rPr>
              <w:t xml:space="preserve"> </w:t>
            </w:r>
            <w:r w:rsidRPr="00E97D42">
              <w:rPr>
                <w:sz w:val="20"/>
              </w:rPr>
              <w:t xml:space="preserve">                                              Signed:</w:t>
            </w:r>
          </w:p>
          <w:p w:rsidR="00E97D42" w:rsidRDefault="00E97D42" w:rsidP="00E97D42">
            <w:pPr>
              <w:jc w:val="both"/>
              <w:rPr>
                <w:sz w:val="20"/>
              </w:rPr>
            </w:pPr>
          </w:p>
          <w:p w:rsidR="00E97D42" w:rsidRDefault="00E97D42" w:rsidP="00E97D42">
            <w:pPr>
              <w:jc w:val="both"/>
              <w:rPr>
                <w:sz w:val="20"/>
              </w:rPr>
            </w:pPr>
            <w:r>
              <w:rPr>
                <w:sz w:val="20"/>
              </w:rPr>
              <w:t>Contact details:</w:t>
            </w:r>
            <w:r w:rsidR="002F0444">
              <w:rPr>
                <w:sz w:val="20"/>
              </w:rPr>
              <w:t xml:space="preserve"> </w:t>
            </w:r>
            <w:r w:rsidR="00F4440A">
              <w:rPr>
                <w:sz w:val="20"/>
              </w:rPr>
              <w:t xml:space="preserve"> </w:t>
            </w:r>
          </w:p>
          <w:p w:rsidR="00E97D42" w:rsidRDefault="00E97D42" w:rsidP="00E97D42">
            <w:pPr>
              <w:jc w:val="both"/>
              <w:rPr>
                <w:sz w:val="20"/>
              </w:rPr>
            </w:pPr>
          </w:p>
          <w:p w:rsidR="00E97D42" w:rsidRDefault="00E97D42" w:rsidP="00E97D42">
            <w:pPr>
              <w:jc w:val="both"/>
              <w:rPr>
                <w:sz w:val="20"/>
              </w:rPr>
            </w:pPr>
          </w:p>
          <w:p w:rsidR="00E97D42" w:rsidRPr="00E97D42" w:rsidRDefault="00E97D42" w:rsidP="00E97D42">
            <w:pPr>
              <w:jc w:val="both"/>
              <w:rPr>
                <w:sz w:val="20"/>
              </w:rPr>
            </w:pPr>
          </w:p>
          <w:p w:rsidR="00E97D42" w:rsidRPr="00E97D42" w:rsidRDefault="00E97D42" w:rsidP="00E97D42">
            <w:pPr>
              <w:jc w:val="both"/>
              <w:rPr>
                <w:sz w:val="20"/>
              </w:rPr>
            </w:pPr>
            <w:r w:rsidRPr="00E97D42">
              <w:rPr>
                <w:sz w:val="20"/>
              </w:rPr>
              <w:t>Date:</w:t>
            </w:r>
            <w:r w:rsidR="002F0444">
              <w:rPr>
                <w:sz w:val="20"/>
              </w:rPr>
              <w:t xml:space="preserve"> </w:t>
            </w:r>
            <w:r w:rsidR="00F4440A">
              <w:rPr>
                <w:sz w:val="20"/>
              </w:rPr>
              <w:t xml:space="preserve"> </w:t>
            </w:r>
          </w:p>
          <w:p w:rsidR="00E97D42" w:rsidRDefault="00E97D42" w:rsidP="00E97D42">
            <w:pPr>
              <w:jc w:val="both"/>
              <w:rPr>
                <w:sz w:val="20"/>
              </w:rPr>
            </w:pPr>
          </w:p>
          <w:p w:rsidR="00E97D42" w:rsidRPr="00E97D42" w:rsidRDefault="00E97D42" w:rsidP="00E97D42">
            <w:pPr>
              <w:jc w:val="both"/>
              <w:rPr>
                <w:szCs w:val="22"/>
              </w:rPr>
            </w:pPr>
          </w:p>
        </w:tc>
      </w:tr>
    </w:tbl>
    <w:p w:rsidR="00E97D42" w:rsidRDefault="00E97D42" w:rsidP="00E97D42"/>
    <w:p w:rsidR="00E630FC" w:rsidRPr="00A463EB" w:rsidRDefault="00E630FC" w:rsidP="00E97D42">
      <w:pPr>
        <w:jc w:val="both"/>
        <w:rPr>
          <w:sz w:val="20"/>
        </w:rPr>
      </w:pPr>
    </w:p>
    <w:sectPr w:rsidR="00E630FC" w:rsidRPr="00A463EB" w:rsidSect="00E97D42">
      <w:headerReference w:type="even" r:id="rId8"/>
      <w:headerReference w:type="default" r:id="rId9"/>
      <w:footerReference w:type="default" r:id="rId10"/>
      <w:headerReference w:type="first" r:id="rId11"/>
      <w:pgSz w:w="16838" w:h="11906" w:orient="landscape" w:code="9"/>
      <w:pgMar w:top="1418" w:right="1418" w:bottom="1135"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7A2" w:rsidRDefault="007837A2" w:rsidP="007C1ACE">
      <w:r>
        <w:separator/>
      </w:r>
    </w:p>
  </w:endnote>
  <w:endnote w:type="continuationSeparator" w:id="0">
    <w:p w:rsidR="007837A2" w:rsidRDefault="007837A2" w:rsidP="007C1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42" w:rsidRPr="003708A9" w:rsidRDefault="00E97D42" w:rsidP="00E97D42">
    <w:pPr>
      <w:pStyle w:val="Footer"/>
      <w:jc w:val="center"/>
      <w:rPr>
        <w:i/>
        <w:color w:val="0000FF"/>
        <w:sz w:val="20"/>
      </w:rPr>
    </w:pPr>
    <w:proofErr w:type="gramStart"/>
    <w:r w:rsidRPr="003708A9">
      <w:rPr>
        <w:i/>
        <w:color w:val="0000FF"/>
        <w:sz w:val="20"/>
      </w:rPr>
      <w:t>Result  :</w:t>
    </w:r>
    <w:proofErr w:type="gramEnd"/>
    <w:r w:rsidRPr="003708A9">
      <w:rPr>
        <w:i/>
        <w:color w:val="0000FF"/>
        <w:sz w:val="20"/>
      </w:rPr>
      <w:t xml:space="preserve">  T = trivial, A = adequately controlled, N = not adequ</w:t>
    </w:r>
    <w:r>
      <w:rPr>
        <w:i/>
        <w:color w:val="0000FF"/>
        <w:sz w:val="20"/>
      </w:rPr>
      <w:t>a</w:t>
    </w:r>
    <w:r w:rsidRPr="003708A9">
      <w:rPr>
        <w:i/>
        <w:color w:val="0000FF"/>
        <w:sz w:val="20"/>
      </w:rPr>
      <w:t>tely controlled, action required, U = un</w:t>
    </w:r>
    <w:r>
      <w:rPr>
        <w:i/>
        <w:color w:val="0000FF"/>
        <w:sz w:val="20"/>
      </w:rPr>
      <w:t>kn</w:t>
    </w:r>
    <w:r w:rsidRPr="003708A9">
      <w:rPr>
        <w:i/>
        <w:color w:val="0000FF"/>
        <w:sz w:val="20"/>
      </w:rPr>
      <w:t>own risk</w:t>
    </w:r>
  </w:p>
  <w:p w:rsidR="00E97D42" w:rsidRDefault="00E97D42">
    <w:pPr>
      <w:pStyle w:val="Footer"/>
      <w:rPr>
        <w:i/>
        <w:sz w:val="20"/>
      </w:rPr>
    </w:pPr>
  </w:p>
  <w:p w:rsidR="00E97D42" w:rsidRDefault="00E97D42">
    <w:pPr>
      <w:pStyle w:val="Footer"/>
      <w:rPr>
        <w:i/>
        <w:sz w:val="20"/>
      </w:rPr>
    </w:pPr>
  </w:p>
  <w:p w:rsidR="00E97D42" w:rsidRPr="001D5D34" w:rsidRDefault="00E97D42">
    <w:pPr>
      <w:pStyle w:val="Footer"/>
      <w:rPr>
        <w: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7A2" w:rsidRDefault="007837A2" w:rsidP="007C1ACE">
      <w:r>
        <w:separator/>
      </w:r>
    </w:p>
  </w:footnote>
  <w:footnote w:type="continuationSeparator" w:id="0">
    <w:p w:rsidR="007837A2" w:rsidRDefault="007837A2" w:rsidP="007C1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42" w:rsidRDefault="001B1D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0.95pt;height:188.35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42" w:rsidRPr="00B1601C" w:rsidRDefault="00E97D42" w:rsidP="00E97D42">
    <w:pPr>
      <w:pStyle w:val="Header"/>
      <w:jc w:val="center"/>
      <w:rPr>
        <w:b/>
      </w:rPr>
    </w:pPr>
    <w:r>
      <w:rPr>
        <w:b/>
      </w:rPr>
      <w:t>Manchester Institute of Biotechnology – Risk Assessment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D42" w:rsidRDefault="001B1DC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0.95pt;height:188.35pt;rotation:315;z-index:-25165619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758C"/>
    <w:multiLevelType w:val="hybridMultilevel"/>
    <w:tmpl w:val="88C4524C"/>
    <w:lvl w:ilvl="0" w:tplc="1B26C12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24F7422D"/>
    <w:multiLevelType w:val="hybridMultilevel"/>
    <w:tmpl w:val="ED6E2B1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78641FB"/>
    <w:multiLevelType w:val="hybridMultilevel"/>
    <w:tmpl w:val="1DC4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777A5E"/>
    <w:multiLevelType w:val="hybridMultilevel"/>
    <w:tmpl w:val="4EEC1A26"/>
    <w:lvl w:ilvl="0" w:tplc="5604596E">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553D420D"/>
    <w:multiLevelType w:val="hybridMultilevel"/>
    <w:tmpl w:val="6FA6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ACE"/>
    <w:rsid w:val="000C437F"/>
    <w:rsid w:val="0011391E"/>
    <w:rsid w:val="00177503"/>
    <w:rsid w:val="001958BD"/>
    <w:rsid w:val="001B1DC3"/>
    <w:rsid w:val="0025485F"/>
    <w:rsid w:val="002613B6"/>
    <w:rsid w:val="002F0444"/>
    <w:rsid w:val="00312B12"/>
    <w:rsid w:val="004512DD"/>
    <w:rsid w:val="006403A0"/>
    <w:rsid w:val="006827C2"/>
    <w:rsid w:val="006F034A"/>
    <w:rsid w:val="0073326F"/>
    <w:rsid w:val="00782134"/>
    <w:rsid w:val="007837A2"/>
    <w:rsid w:val="007C1ACE"/>
    <w:rsid w:val="00832EA3"/>
    <w:rsid w:val="008B44CF"/>
    <w:rsid w:val="008D55FF"/>
    <w:rsid w:val="008F48D1"/>
    <w:rsid w:val="0095123E"/>
    <w:rsid w:val="00A463EB"/>
    <w:rsid w:val="00A55C06"/>
    <w:rsid w:val="00AC54E9"/>
    <w:rsid w:val="00B12067"/>
    <w:rsid w:val="00BE7D6C"/>
    <w:rsid w:val="00D11F7B"/>
    <w:rsid w:val="00E60505"/>
    <w:rsid w:val="00E630FC"/>
    <w:rsid w:val="00E97D42"/>
    <w:rsid w:val="00F32C1B"/>
    <w:rsid w:val="00F4440A"/>
    <w:rsid w:val="00F85F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CE"/>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1ACE"/>
    <w:pPr>
      <w:ind w:left="2835"/>
    </w:pPr>
  </w:style>
  <w:style w:type="character" w:customStyle="1" w:styleId="BodyTextIndentChar">
    <w:name w:val="Body Text Indent Char"/>
    <w:basedOn w:val="DefaultParagraphFont"/>
    <w:link w:val="BodyTextIndent"/>
    <w:rsid w:val="007C1ACE"/>
    <w:rPr>
      <w:rFonts w:ascii="Arial" w:eastAsia="Times New Roman" w:hAnsi="Arial" w:cs="Arial"/>
      <w:sz w:val="24"/>
      <w:szCs w:val="20"/>
    </w:rPr>
  </w:style>
  <w:style w:type="paragraph" w:styleId="Header">
    <w:name w:val="header"/>
    <w:basedOn w:val="Normal"/>
    <w:link w:val="HeaderChar"/>
    <w:rsid w:val="007C1ACE"/>
    <w:pPr>
      <w:tabs>
        <w:tab w:val="center" w:pos="4153"/>
        <w:tab w:val="right" w:pos="8306"/>
      </w:tabs>
    </w:pPr>
  </w:style>
  <w:style w:type="character" w:customStyle="1" w:styleId="HeaderChar">
    <w:name w:val="Header Char"/>
    <w:basedOn w:val="DefaultParagraphFont"/>
    <w:link w:val="Header"/>
    <w:rsid w:val="007C1ACE"/>
    <w:rPr>
      <w:rFonts w:ascii="Arial" w:eastAsia="Times New Roman" w:hAnsi="Arial" w:cs="Arial"/>
      <w:sz w:val="24"/>
      <w:szCs w:val="20"/>
    </w:rPr>
  </w:style>
  <w:style w:type="paragraph" w:styleId="Footer">
    <w:name w:val="footer"/>
    <w:basedOn w:val="Normal"/>
    <w:link w:val="FooterChar"/>
    <w:rsid w:val="007C1ACE"/>
    <w:pPr>
      <w:tabs>
        <w:tab w:val="center" w:pos="4153"/>
        <w:tab w:val="right" w:pos="8306"/>
      </w:tabs>
    </w:pPr>
  </w:style>
  <w:style w:type="character" w:customStyle="1" w:styleId="FooterChar">
    <w:name w:val="Footer Char"/>
    <w:basedOn w:val="DefaultParagraphFont"/>
    <w:link w:val="Footer"/>
    <w:rsid w:val="007C1ACE"/>
    <w:rPr>
      <w:rFonts w:ascii="Arial" w:eastAsia="Times New Roman" w:hAnsi="Arial" w:cs="Arial"/>
      <w:sz w:val="24"/>
      <w:szCs w:val="20"/>
    </w:rPr>
  </w:style>
  <w:style w:type="character" w:styleId="Hyperlink">
    <w:name w:val="Hyperlink"/>
    <w:basedOn w:val="DefaultParagraphFont"/>
    <w:rsid w:val="007C1ACE"/>
    <w:rPr>
      <w:color w:val="0000FF"/>
      <w:u w:val="single"/>
    </w:rPr>
  </w:style>
  <w:style w:type="paragraph" w:styleId="ListParagraph">
    <w:name w:val="List Paragraph"/>
    <w:basedOn w:val="Normal"/>
    <w:uiPriority w:val="34"/>
    <w:qFormat/>
    <w:rsid w:val="008D55FF"/>
    <w:pPr>
      <w:ind w:left="720"/>
      <w:contextualSpacing/>
    </w:pPr>
  </w:style>
  <w:style w:type="paragraph" w:styleId="BalloonText">
    <w:name w:val="Balloon Text"/>
    <w:basedOn w:val="Normal"/>
    <w:link w:val="BalloonTextChar"/>
    <w:uiPriority w:val="99"/>
    <w:semiHidden/>
    <w:unhideWhenUsed/>
    <w:rsid w:val="002F0444"/>
    <w:rPr>
      <w:rFonts w:ascii="Tahoma" w:hAnsi="Tahoma" w:cs="Tahoma"/>
      <w:sz w:val="16"/>
      <w:szCs w:val="16"/>
    </w:rPr>
  </w:style>
  <w:style w:type="character" w:customStyle="1" w:styleId="BalloonTextChar">
    <w:name w:val="Balloon Text Char"/>
    <w:basedOn w:val="DefaultParagraphFont"/>
    <w:link w:val="BalloonText"/>
    <w:uiPriority w:val="99"/>
    <w:semiHidden/>
    <w:rsid w:val="002F044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ACE"/>
    <w:pPr>
      <w:spacing w:after="0" w:line="240" w:lineRule="auto"/>
    </w:pPr>
    <w:rPr>
      <w:rFonts w:ascii="Arial" w:eastAsia="Times New Roman" w:hAnsi="Arial" w:cs="Arial"/>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7C1ACE"/>
    <w:pPr>
      <w:ind w:left="2835"/>
    </w:pPr>
  </w:style>
  <w:style w:type="character" w:customStyle="1" w:styleId="BodyTextIndentChar">
    <w:name w:val="Body Text Indent Char"/>
    <w:basedOn w:val="DefaultParagraphFont"/>
    <w:link w:val="BodyTextIndent"/>
    <w:rsid w:val="007C1ACE"/>
    <w:rPr>
      <w:rFonts w:ascii="Arial" w:eastAsia="Times New Roman" w:hAnsi="Arial" w:cs="Arial"/>
      <w:sz w:val="24"/>
      <w:szCs w:val="20"/>
    </w:rPr>
  </w:style>
  <w:style w:type="paragraph" w:styleId="Header">
    <w:name w:val="header"/>
    <w:basedOn w:val="Normal"/>
    <w:link w:val="HeaderChar"/>
    <w:rsid w:val="007C1ACE"/>
    <w:pPr>
      <w:tabs>
        <w:tab w:val="center" w:pos="4153"/>
        <w:tab w:val="right" w:pos="8306"/>
      </w:tabs>
    </w:pPr>
  </w:style>
  <w:style w:type="character" w:customStyle="1" w:styleId="HeaderChar">
    <w:name w:val="Header Char"/>
    <w:basedOn w:val="DefaultParagraphFont"/>
    <w:link w:val="Header"/>
    <w:rsid w:val="007C1ACE"/>
    <w:rPr>
      <w:rFonts w:ascii="Arial" w:eastAsia="Times New Roman" w:hAnsi="Arial" w:cs="Arial"/>
      <w:sz w:val="24"/>
      <w:szCs w:val="20"/>
    </w:rPr>
  </w:style>
  <w:style w:type="paragraph" w:styleId="Footer">
    <w:name w:val="footer"/>
    <w:basedOn w:val="Normal"/>
    <w:link w:val="FooterChar"/>
    <w:rsid w:val="007C1ACE"/>
    <w:pPr>
      <w:tabs>
        <w:tab w:val="center" w:pos="4153"/>
        <w:tab w:val="right" w:pos="8306"/>
      </w:tabs>
    </w:pPr>
  </w:style>
  <w:style w:type="character" w:customStyle="1" w:styleId="FooterChar">
    <w:name w:val="Footer Char"/>
    <w:basedOn w:val="DefaultParagraphFont"/>
    <w:link w:val="Footer"/>
    <w:rsid w:val="007C1ACE"/>
    <w:rPr>
      <w:rFonts w:ascii="Arial" w:eastAsia="Times New Roman" w:hAnsi="Arial" w:cs="Arial"/>
      <w:sz w:val="24"/>
      <w:szCs w:val="20"/>
    </w:rPr>
  </w:style>
  <w:style w:type="character" w:styleId="Hyperlink">
    <w:name w:val="Hyperlink"/>
    <w:basedOn w:val="DefaultParagraphFont"/>
    <w:rsid w:val="007C1ACE"/>
    <w:rPr>
      <w:color w:val="0000FF"/>
      <w:u w:val="single"/>
    </w:rPr>
  </w:style>
  <w:style w:type="paragraph" w:styleId="ListParagraph">
    <w:name w:val="List Paragraph"/>
    <w:basedOn w:val="Normal"/>
    <w:uiPriority w:val="34"/>
    <w:qFormat/>
    <w:rsid w:val="008D55FF"/>
    <w:pPr>
      <w:ind w:left="720"/>
      <w:contextualSpacing/>
    </w:pPr>
  </w:style>
  <w:style w:type="paragraph" w:styleId="BalloonText">
    <w:name w:val="Balloon Text"/>
    <w:basedOn w:val="Normal"/>
    <w:link w:val="BalloonTextChar"/>
    <w:uiPriority w:val="99"/>
    <w:semiHidden/>
    <w:unhideWhenUsed/>
    <w:rsid w:val="002F0444"/>
    <w:rPr>
      <w:rFonts w:ascii="Tahoma" w:hAnsi="Tahoma" w:cs="Tahoma"/>
      <w:sz w:val="16"/>
      <w:szCs w:val="16"/>
    </w:rPr>
  </w:style>
  <w:style w:type="character" w:customStyle="1" w:styleId="BalloonTextChar">
    <w:name w:val="Balloon Text Char"/>
    <w:basedOn w:val="DefaultParagraphFont"/>
    <w:link w:val="BalloonText"/>
    <w:uiPriority w:val="99"/>
    <w:semiHidden/>
    <w:rsid w:val="002F044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1644</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10994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Louise Barnes</cp:lastModifiedBy>
  <cp:revision>3</cp:revision>
  <cp:lastPrinted>2013-10-23T21:10:00Z</cp:lastPrinted>
  <dcterms:created xsi:type="dcterms:W3CDTF">2015-10-09T14:17:00Z</dcterms:created>
  <dcterms:modified xsi:type="dcterms:W3CDTF">2016-10-07T07:01:00Z</dcterms:modified>
</cp:coreProperties>
</file>