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39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285"/>
        <w:gridCol w:w="3655"/>
        <w:gridCol w:w="3827"/>
        <w:gridCol w:w="722"/>
        <w:gridCol w:w="2396"/>
      </w:tblGrid>
      <w:tr w:rsidR="00E96AD7" w:rsidRPr="00EF0553" w:rsidTr="00EF0553">
        <w:trPr>
          <w:cantSplit/>
          <w:trHeight w:val="699"/>
          <w:tblHeader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CCFFFF"/>
          </w:tcPr>
          <w:p w:rsidR="006D7F45" w:rsidRPr="00EF0553" w:rsidRDefault="00E96AD7" w:rsidP="006D7F4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F0553">
              <w:rPr>
                <w:sz w:val="22"/>
                <w:szCs w:val="22"/>
              </w:rPr>
              <w:t>Date:</w:t>
            </w:r>
            <w:r w:rsidR="009C0A0A" w:rsidRPr="00EF0553">
              <w:rPr>
                <w:sz w:val="22"/>
                <w:szCs w:val="22"/>
              </w:rPr>
              <w:t xml:space="preserve"> </w:t>
            </w:r>
          </w:p>
          <w:p w:rsidR="00E96AD7" w:rsidRPr="00EF0553" w:rsidRDefault="00A42264" w:rsidP="00A4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4226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="00536656" w:rsidRPr="00EF0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October</w:t>
            </w:r>
            <w:r w:rsidR="00536656" w:rsidRPr="00EF0553">
              <w:rPr>
                <w:sz w:val="22"/>
                <w:szCs w:val="22"/>
              </w:rPr>
              <w:t xml:space="preserve"> ‘15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Assessed by:</w:t>
            </w:r>
            <w:r w:rsidR="009C0A0A" w:rsidRPr="00EF0553">
              <w:rPr>
                <w:sz w:val="22"/>
                <w:szCs w:val="22"/>
              </w:rPr>
              <w:t xml:space="preserve"> </w:t>
            </w:r>
          </w:p>
          <w:p w:rsidR="00E96AD7" w:rsidRPr="00EF0553" w:rsidRDefault="00536656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Nick Weise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F0553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Checked / Validated </w:t>
            </w:r>
            <w:r w:rsidR="009C0A0A" w:rsidRPr="00EF0553">
              <w:rPr>
                <w:sz w:val="22"/>
                <w:szCs w:val="22"/>
              </w:rPr>
              <w:t>by</w:t>
            </w:r>
            <w:r w:rsidR="00D23F9C" w:rsidRPr="00EF0553">
              <w:rPr>
                <w:sz w:val="22"/>
                <w:szCs w:val="22"/>
              </w:rPr>
              <w:t>:</w:t>
            </w:r>
          </w:p>
          <w:p w:rsidR="00E96AD7" w:rsidRPr="00EF0553" w:rsidRDefault="00E96AD7" w:rsidP="00B1601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E96AD7" w:rsidRPr="00EF0553" w:rsidRDefault="009C0A0A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Location: </w:t>
            </w:r>
          </w:p>
          <w:p w:rsidR="00511BF5" w:rsidRPr="00EF0553" w:rsidRDefault="00A42264" w:rsidP="00D23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 Museum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B1601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Review date:</w:t>
            </w:r>
          </w:p>
          <w:p w:rsidR="002C7CF5" w:rsidRPr="00EF0553" w:rsidRDefault="00A42264" w:rsidP="00B1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British Science Week (Spring 2016)</w:t>
            </w:r>
          </w:p>
        </w:tc>
      </w:tr>
      <w:tr w:rsidR="00E96AD7" w:rsidRPr="00EF0553">
        <w:trPr>
          <w:cantSplit/>
          <w:tblHeader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96AD7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Task / premises:</w:t>
            </w:r>
            <w:r w:rsidR="00D23F9C" w:rsidRPr="00EF0553">
              <w:rPr>
                <w:sz w:val="22"/>
                <w:szCs w:val="22"/>
              </w:rPr>
              <w:t xml:space="preserve"> </w:t>
            </w:r>
          </w:p>
          <w:p w:rsidR="00D23F9C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 xml:space="preserve">General information </w:t>
            </w:r>
            <w:r w:rsidRPr="00EF0553">
              <w:rPr>
                <w:sz w:val="22"/>
                <w:szCs w:val="22"/>
              </w:rPr>
              <w:t xml:space="preserve"> - </w:t>
            </w:r>
            <w:r w:rsidR="00E6072D" w:rsidRPr="00EF0553">
              <w:rPr>
                <w:sz w:val="22"/>
                <w:szCs w:val="22"/>
              </w:rPr>
              <w:t>Proteins: the building blocks of life</w:t>
            </w:r>
            <w:r w:rsidR="00A42264">
              <w:rPr>
                <w:sz w:val="22"/>
                <w:szCs w:val="22"/>
              </w:rPr>
              <w:t xml:space="preserve"> &amp; Enzymes: nature’s catalysts</w:t>
            </w:r>
          </w:p>
          <w:p w:rsidR="00E96AD7" w:rsidRPr="00EF0553" w:rsidRDefault="00E96AD7" w:rsidP="00B1601C">
            <w:pPr>
              <w:rPr>
                <w:sz w:val="22"/>
                <w:szCs w:val="22"/>
              </w:rPr>
            </w:pPr>
          </w:p>
          <w:p w:rsidR="00714DEC" w:rsidRPr="00EF0553" w:rsidRDefault="00714DEC" w:rsidP="00536656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The MIB is hosting </w:t>
            </w:r>
            <w:r w:rsidR="00A42264">
              <w:rPr>
                <w:sz w:val="22"/>
                <w:szCs w:val="22"/>
              </w:rPr>
              <w:t xml:space="preserve">2 </w:t>
            </w:r>
            <w:r w:rsidRPr="00EF0553">
              <w:rPr>
                <w:sz w:val="22"/>
                <w:szCs w:val="22"/>
              </w:rPr>
              <w:t>stand</w:t>
            </w:r>
            <w:r w:rsidR="00A42264">
              <w:rPr>
                <w:sz w:val="22"/>
                <w:szCs w:val="22"/>
              </w:rPr>
              <w:t>s</w:t>
            </w:r>
            <w:r w:rsidR="00C34F19" w:rsidRPr="00EF0553">
              <w:rPr>
                <w:sz w:val="22"/>
                <w:szCs w:val="22"/>
              </w:rPr>
              <w:t xml:space="preserve"> at the </w:t>
            </w:r>
            <w:r w:rsidR="00A42264">
              <w:rPr>
                <w:sz w:val="22"/>
                <w:szCs w:val="22"/>
              </w:rPr>
              <w:t>Manchester Science Spectacular as part of Manchester Science Week</w:t>
            </w:r>
            <w:r w:rsidR="00C34F19" w:rsidRPr="00EF0553">
              <w:rPr>
                <w:sz w:val="22"/>
                <w:szCs w:val="22"/>
              </w:rPr>
              <w:t xml:space="preserve"> </w:t>
            </w:r>
            <w:r w:rsidR="00536656" w:rsidRPr="00EF0553">
              <w:rPr>
                <w:sz w:val="22"/>
                <w:szCs w:val="22"/>
              </w:rPr>
              <w:t>to demonstrate activities based around proteins and specifically enzymes to groups of school children.</w:t>
            </w:r>
          </w:p>
          <w:p w:rsidR="00536656" w:rsidRPr="00EF0553" w:rsidRDefault="00536656" w:rsidP="00536656">
            <w:pPr>
              <w:rPr>
                <w:sz w:val="22"/>
                <w:szCs w:val="22"/>
              </w:rPr>
            </w:pPr>
          </w:p>
        </w:tc>
      </w:tr>
    </w:tbl>
    <w:p w:rsidR="00AC1E5E" w:rsidRPr="00EF0553" w:rsidRDefault="00714DEC" w:rsidP="00B1601C">
      <w:pPr>
        <w:jc w:val="center"/>
        <w:rPr>
          <w:b/>
          <w:sz w:val="22"/>
          <w:szCs w:val="22"/>
        </w:rPr>
      </w:pPr>
      <w:r w:rsidRPr="00EF0553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A836502" wp14:editId="2DC6DCD0">
            <wp:simplePos x="0" y="0"/>
            <wp:positionH relativeFrom="page">
              <wp:posOffset>191135</wp:posOffset>
            </wp:positionH>
            <wp:positionV relativeFrom="page">
              <wp:posOffset>154305</wp:posOffset>
            </wp:positionV>
            <wp:extent cx="1116330" cy="1073785"/>
            <wp:effectExtent l="19050" t="0" r="7620" b="0"/>
            <wp:wrapSquare wrapText="bothSides"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553" w:rsidRPr="00EF0553">
        <w:rPr>
          <w:b/>
          <w:sz w:val="22"/>
          <w:szCs w:val="22"/>
        </w:rPr>
        <w:t>Manchester Institute of Biotechnology – Risk assessment</w:t>
      </w:r>
    </w:p>
    <w:p w:rsidR="00B1601C" w:rsidRPr="00EF0553" w:rsidRDefault="00B1601C" w:rsidP="00B1601C">
      <w:pPr>
        <w:jc w:val="center"/>
        <w:rPr>
          <w:b/>
          <w:sz w:val="22"/>
          <w:szCs w:val="22"/>
        </w:rPr>
      </w:pPr>
    </w:p>
    <w:tbl>
      <w:tblPr>
        <w:tblW w:w="14836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12"/>
        <w:gridCol w:w="1984"/>
        <w:gridCol w:w="6958"/>
        <w:gridCol w:w="1134"/>
        <w:gridCol w:w="952"/>
      </w:tblGrid>
      <w:tr w:rsidR="0020100F" w:rsidRPr="00EF0553" w:rsidTr="00EF0553">
        <w:trPr>
          <w:cantSplit/>
          <w:tblHeader/>
          <w:jc w:val="center"/>
        </w:trPr>
        <w:tc>
          <w:tcPr>
            <w:tcW w:w="1896" w:type="dxa"/>
            <w:shd w:val="clear" w:color="auto" w:fill="CCFFFF"/>
          </w:tcPr>
          <w:p w:rsidR="0020100F" w:rsidRPr="00EF0553" w:rsidRDefault="0020100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Activity</w:t>
            </w:r>
          </w:p>
        </w:tc>
        <w:tc>
          <w:tcPr>
            <w:tcW w:w="1912" w:type="dxa"/>
            <w:shd w:val="clear" w:color="auto" w:fill="CCFFFF"/>
          </w:tcPr>
          <w:p w:rsidR="0020100F" w:rsidRPr="00EF0553" w:rsidRDefault="0020100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Hazard</w:t>
            </w:r>
          </w:p>
        </w:tc>
        <w:tc>
          <w:tcPr>
            <w:tcW w:w="1984" w:type="dxa"/>
            <w:shd w:val="clear" w:color="auto" w:fill="CCFFFF"/>
          </w:tcPr>
          <w:p w:rsidR="0020100F" w:rsidRPr="00EF0553" w:rsidRDefault="00635DF2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Who might be harmed and how </w:t>
            </w:r>
          </w:p>
        </w:tc>
        <w:tc>
          <w:tcPr>
            <w:tcW w:w="6958" w:type="dxa"/>
            <w:shd w:val="clear" w:color="auto" w:fill="CCFFFF"/>
          </w:tcPr>
          <w:p w:rsidR="0020100F" w:rsidRPr="00EF0553" w:rsidRDefault="0020100F" w:rsidP="00EF0553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Existing measures to control risk</w:t>
            </w:r>
          </w:p>
        </w:tc>
        <w:tc>
          <w:tcPr>
            <w:tcW w:w="1134" w:type="dxa"/>
            <w:shd w:val="clear" w:color="auto" w:fill="CCFFFF"/>
          </w:tcPr>
          <w:p w:rsidR="0020100F" w:rsidRPr="00EF0553" w:rsidRDefault="00BD53AC" w:rsidP="00EF0553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Risk rating</w:t>
            </w:r>
            <w:r w:rsidR="002D7ABB" w:rsidRPr="00EF0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shd w:val="clear" w:color="auto" w:fill="CCFFFF"/>
          </w:tcPr>
          <w:p w:rsidR="0020100F" w:rsidRPr="00EF0553" w:rsidRDefault="0020100F" w:rsidP="00EF0553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Result</w:t>
            </w:r>
            <w:r w:rsidR="002D7ABB" w:rsidRPr="00EF0553">
              <w:rPr>
                <w:sz w:val="22"/>
                <w:szCs w:val="22"/>
              </w:rPr>
              <w:t xml:space="preserve"> </w:t>
            </w:r>
          </w:p>
        </w:tc>
      </w:tr>
      <w:tr w:rsidR="00F528EB" w:rsidRPr="00EF0553" w:rsidTr="00EF0553">
        <w:trPr>
          <w:cantSplit/>
          <w:jc w:val="center"/>
        </w:trPr>
        <w:tc>
          <w:tcPr>
            <w:tcW w:w="1896" w:type="dxa"/>
          </w:tcPr>
          <w:p w:rsidR="004979A3" w:rsidRPr="00EF0553" w:rsidRDefault="004979A3" w:rsidP="006D7F45">
            <w:pPr>
              <w:rPr>
                <w:sz w:val="22"/>
                <w:szCs w:val="22"/>
              </w:rPr>
            </w:pPr>
          </w:p>
          <w:p w:rsidR="00E96AD7" w:rsidRPr="00EF0553" w:rsidRDefault="00714DEC" w:rsidP="006D7F45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Making “</w:t>
            </w:r>
            <w:r w:rsidR="006D7F45" w:rsidRPr="00EF0553">
              <w:rPr>
                <w:sz w:val="22"/>
                <w:szCs w:val="22"/>
              </w:rPr>
              <w:t>amino acids</w:t>
            </w:r>
            <w:r w:rsidRPr="00EF0553">
              <w:rPr>
                <w:sz w:val="22"/>
                <w:szCs w:val="22"/>
              </w:rPr>
              <w:t xml:space="preserve">” with </w:t>
            </w:r>
            <w:proofErr w:type="spellStart"/>
            <w:r w:rsidR="004979A3" w:rsidRPr="00EF0553">
              <w:rPr>
                <w:sz w:val="22"/>
                <w:szCs w:val="22"/>
              </w:rPr>
              <w:t>molymod</w:t>
            </w:r>
            <w:proofErr w:type="spellEnd"/>
            <w:r w:rsidR="004979A3" w:rsidRPr="00EF0553">
              <w:rPr>
                <w:sz w:val="22"/>
                <w:szCs w:val="22"/>
              </w:rPr>
              <w:t xml:space="preserve"> and pipe cleaners </w:t>
            </w:r>
            <w:r w:rsidR="006D7F45" w:rsidRPr="00EF0553">
              <w:rPr>
                <w:sz w:val="22"/>
                <w:szCs w:val="22"/>
              </w:rPr>
              <w:t>/</w:t>
            </w:r>
            <w:r w:rsidR="004979A3" w:rsidRPr="00EF0553">
              <w:rPr>
                <w:sz w:val="22"/>
                <w:szCs w:val="22"/>
              </w:rPr>
              <w:t xml:space="preserve"> </w:t>
            </w:r>
            <w:r w:rsidR="006D7F45" w:rsidRPr="00EF0553">
              <w:rPr>
                <w:sz w:val="22"/>
                <w:szCs w:val="22"/>
              </w:rPr>
              <w:t>beads</w:t>
            </w:r>
          </w:p>
          <w:p w:rsidR="00F528EB" w:rsidRPr="00EF0553" w:rsidRDefault="00F528EB" w:rsidP="00E96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979A3" w:rsidRPr="00EF0553" w:rsidRDefault="004979A3" w:rsidP="006D7F45">
            <w:pPr>
              <w:rPr>
                <w:sz w:val="22"/>
                <w:szCs w:val="22"/>
              </w:rPr>
            </w:pPr>
          </w:p>
          <w:p w:rsidR="00714DEC" w:rsidRPr="00EF0553" w:rsidRDefault="00714DEC" w:rsidP="006D7F45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Small </w:t>
            </w:r>
            <w:r w:rsidR="00352926" w:rsidRPr="00EF0553">
              <w:rPr>
                <w:sz w:val="22"/>
                <w:szCs w:val="22"/>
              </w:rPr>
              <w:t>pieces</w:t>
            </w:r>
            <w:r w:rsidRPr="00EF0553">
              <w:rPr>
                <w:sz w:val="22"/>
                <w:szCs w:val="22"/>
              </w:rPr>
              <w:t xml:space="preserve"> may cause choke hazard if swallowed.</w:t>
            </w:r>
          </w:p>
        </w:tc>
        <w:tc>
          <w:tcPr>
            <w:tcW w:w="1984" w:type="dxa"/>
          </w:tcPr>
          <w:p w:rsidR="004979A3" w:rsidRPr="00EF0553" w:rsidRDefault="004979A3" w:rsidP="00D23F9C">
            <w:pPr>
              <w:rPr>
                <w:sz w:val="22"/>
                <w:szCs w:val="22"/>
              </w:rPr>
            </w:pPr>
          </w:p>
          <w:p w:rsidR="00C42424" w:rsidRPr="00EF0553" w:rsidRDefault="00714DEC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Students if swallow small parts</w:t>
            </w:r>
          </w:p>
        </w:tc>
        <w:tc>
          <w:tcPr>
            <w:tcW w:w="6958" w:type="dxa"/>
          </w:tcPr>
          <w:p w:rsidR="004979A3" w:rsidRPr="00EF0553" w:rsidRDefault="004979A3" w:rsidP="00D23F9C">
            <w:pPr>
              <w:rPr>
                <w:sz w:val="22"/>
                <w:szCs w:val="22"/>
              </w:rPr>
            </w:pPr>
          </w:p>
          <w:p w:rsidR="00F528EB" w:rsidRPr="00EF0553" w:rsidRDefault="00714DEC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Verbal warning not to eat</w:t>
            </w:r>
          </w:p>
        </w:tc>
        <w:tc>
          <w:tcPr>
            <w:tcW w:w="1134" w:type="dxa"/>
          </w:tcPr>
          <w:p w:rsidR="004979A3" w:rsidRPr="00EF0553" w:rsidRDefault="004979A3" w:rsidP="00A91857">
            <w:pPr>
              <w:ind w:left="360"/>
              <w:jc w:val="center"/>
              <w:rPr>
                <w:sz w:val="22"/>
                <w:szCs w:val="22"/>
              </w:rPr>
            </w:pPr>
          </w:p>
          <w:p w:rsidR="00F528EB" w:rsidRPr="00EF0553" w:rsidRDefault="00A91857" w:rsidP="00A91857">
            <w:pPr>
              <w:ind w:left="360"/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L</w:t>
            </w:r>
          </w:p>
        </w:tc>
        <w:tc>
          <w:tcPr>
            <w:tcW w:w="952" w:type="dxa"/>
          </w:tcPr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</w:p>
          <w:p w:rsidR="00F528EB" w:rsidRPr="00EF0553" w:rsidRDefault="00714DEC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</w:t>
            </w:r>
          </w:p>
        </w:tc>
      </w:tr>
      <w:tr w:rsidR="004979A3" w:rsidRPr="00EF0553" w:rsidTr="00EF0553">
        <w:trPr>
          <w:cantSplit/>
          <w:jc w:val="center"/>
        </w:trPr>
        <w:tc>
          <w:tcPr>
            <w:tcW w:w="1896" w:type="dxa"/>
          </w:tcPr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Practical demonstrations using Hydrogen Peroxide</w:t>
            </w: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Harmful, corrosive</w:t>
            </w: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79A3" w:rsidRPr="00EF0553" w:rsidRDefault="004979A3" w:rsidP="00537790">
            <w:pPr>
              <w:rPr>
                <w:sz w:val="22"/>
                <w:szCs w:val="22"/>
              </w:rPr>
            </w:pPr>
          </w:p>
          <w:p w:rsidR="004979A3" w:rsidRPr="00EF0553" w:rsidRDefault="004979A3" w:rsidP="00537790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Staff members demonstrating; visitors </w:t>
            </w:r>
          </w:p>
        </w:tc>
        <w:tc>
          <w:tcPr>
            <w:tcW w:w="6958" w:type="dxa"/>
          </w:tcPr>
          <w:p w:rsidR="004979A3" w:rsidRPr="00EF0553" w:rsidRDefault="004979A3" w:rsidP="00EF0553">
            <w:pPr>
              <w:jc w:val="both"/>
              <w:rPr>
                <w:sz w:val="22"/>
                <w:szCs w:val="22"/>
              </w:rPr>
            </w:pPr>
          </w:p>
          <w:p w:rsidR="004979A3" w:rsidRPr="00EF0553" w:rsidRDefault="00A91857" w:rsidP="00BC7301">
            <w:pPr>
              <w:jc w:val="both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Substance handled as a dilute </w:t>
            </w:r>
            <w:r w:rsidR="00EF0553">
              <w:rPr>
                <w:sz w:val="22"/>
                <w:szCs w:val="22"/>
              </w:rPr>
              <w:t xml:space="preserve">(3%) </w:t>
            </w:r>
            <w:r w:rsidRPr="00EF0553">
              <w:rPr>
                <w:sz w:val="22"/>
                <w:szCs w:val="22"/>
              </w:rPr>
              <w:t>solution only. Solutions prepared by trained staff before event</w:t>
            </w:r>
            <w:r w:rsidR="00EF0553">
              <w:rPr>
                <w:sz w:val="22"/>
                <w:szCs w:val="22"/>
              </w:rPr>
              <w:t xml:space="preserve"> in MIB</w:t>
            </w:r>
            <w:r w:rsidRPr="00EF0553">
              <w:rPr>
                <w:sz w:val="22"/>
                <w:szCs w:val="22"/>
              </w:rPr>
              <w:t xml:space="preserve">. </w:t>
            </w:r>
            <w:r w:rsidR="00EF0553">
              <w:rPr>
                <w:sz w:val="22"/>
                <w:szCs w:val="22"/>
              </w:rPr>
              <w:t xml:space="preserve">The solution will be transported to the </w:t>
            </w:r>
            <w:r w:rsidR="00BC7301">
              <w:rPr>
                <w:sz w:val="22"/>
                <w:szCs w:val="22"/>
              </w:rPr>
              <w:t>event location</w:t>
            </w:r>
            <w:r w:rsidR="00EF0553">
              <w:rPr>
                <w:sz w:val="22"/>
                <w:szCs w:val="22"/>
              </w:rPr>
              <w:t xml:space="preserve"> in secondary containment (sealed plastic box). </w:t>
            </w:r>
            <w:r w:rsidRPr="00EF0553">
              <w:rPr>
                <w:sz w:val="22"/>
                <w:szCs w:val="22"/>
              </w:rPr>
              <w:t>O</w:t>
            </w:r>
            <w:r w:rsidR="004979A3" w:rsidRPr="00EF0553">
              <w:rPr>
                <w:sz w:val="22"/>
                <w:szCs w:val="22"/>
              </w:rPr>
              <w:t>nly trained staff will perform this demonstration</w:t>
            </w:r>
            <w:r w:rsidR="00EF0553">
              <w:rPr>
                <w:sz w:val="22"/>
                <w:szCs w:val="22"/>
              </w:rPr>
              <w:t xml:space="preserve"> (visitors will observe ONLY)</w:t>
            </w:r>
            <w:r w:rsidR="009F0DAA" w:rsidRPr="00EF0553">
              <w:rPr>
                <w:sz w:val="22"/>
                <w:szCs w:val="22"/>
              </w:rPr>
              <w:t xml:space="preserve">. </w:t>
            </w:r>
            <w:r w:rsidR="00EF0553" w:rsidRPr="00EF0553">
              <w:rPr>
                <w:sz w:val="22"/>
                <w:szCs w:val="22"/>
              </w:rPr>
              <w:t>The following items of PPE must be worn</w:t>
            </w:r>
            <w:r w:rsidR="00EF0553">
              <w:rPr>
                <w:sz w:val="22"/>
                <w:szCs w:val="22"/>
              </w:rPr>
              <w:t xml:space="preserve"> by all staff involved</w:t>
            </w:r>
            <w:r w:rsidR="00EF0553" w:rsidRPr="00EF0553">
              <w:rPr>
                <w:sz w:val="22"/>
                <w:szCs w:val="22"/>
              </w:rPr>
              <w:t xml:space="preserve">: BS EN374 compliant gloves (nitrile). </w:t>
            </w:r>
            <w:r w:rsidR="00EF0553">
              <w:rPr>
                <w:sz w:val="22"/>
                <w:szCs w:val="22"/>
              </w:rPr>
              <w:t>U</w:t>
            </w:r>
            <w:r w:rsidR="00EF0553" w:rsidRPr="00EF0553">
              <w:rPr>
                <w:sz w:val="22"/>
                <w:szCs w:val="22"/>
              </w:rPr>
              <w:t>sers found not to be wearing PPE when the risk assessment states that it must be worn will be subject to the MIB compliance policy.</w:t>
            </w:r>
            <w:r w:rsidR="00EF0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</w:p>
          <w:p w:rsidR="004979A3" w:rsidRPr="00EF0553" w:rsidRDefault="00A91857" w:rsidP="00EF0553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L</w:t>
            </w:r>
          </w:p>
        </w:tc>
        <w:tc>
          <w:tcPr>
            <w:tcW w:w="952" w:type="dxa"/>
          </w:tcPr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</w:p>
          <w:p w:rsidR="004979A3" w:rsidRPr="00EF0553" w:rsidRDefault="004979A3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</w:t>
            </w:r>
          </w:p>
        </w:tc>
      </w:tr>
      <w:tr w:rsidR="00A91857" w:rsidRPr="00EF0553" w:rsidTr="00EF0553">
        <w:trPr>
          <w:cantSplit/>
          <w:jc w:val="center"/>
        </w:trPr>
        <w:tc>
          <w:tcPr>
            <w:tcW w:w="1896" w:type="dxa"/>
          </w:tcPr>
          <w:p w:rsidR="00A91857" w:rsidRPr="00EF0553" w:rsidRDefault="00A9185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lastRenderedPageBreak/>
              <w:t xml:space="preserve">Glucose test involving ABTS [2,2’-Azino-bis(3-ethylbenzothiazoline-6-sulfonic acid) </w:t>
            </w:r>
            <w:proofErr w:type="spellStart"/>
            <w:r w:rsidRPr="00EF0553">
              <w:rPr>
                <w:sz w:val="22"/>
                <w:szCs w:val="22"/>
              </w:rPr>
              <w:t>diammonium</w:t>
            </w:r>
            <w:proofErr w:type="spellEnd"/>
            <w:r w:rsidRPr="00EF0553">
              <w:rPr>
                <w:sz w:val="22"/>
                <w:szCs w:val="22"/>
              </w:rPr>
              <w:t xml:space="preserve"> salt]</w:t>
            </w:r>
          </w:p>
        </w:tc>
        <w:tc>
          <w:tcPr>
            <w:tcW w:w="1912" w:type="dxa"/>
          </w:tcPr>
          <w:p w:rsidR="00767B36" w:rsidRPr="00EF0553" w:rsidRDefault="00767B36">
            <w:pPr>
              <w:rPr>
                <w:sz w:val="22"/>
                <w:szCs w:val="22"/>
              </w:rPr>
            </w:pPr>
          </w:p>
          <w:p w:rsidR="00A91857" w:rsidRPr="00EF0553" w:rsidRDefault="00A9185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Irritating to eyes, respiratory system and skin.</w:t>
            </w:r>
          </w:p>
        </w:tc>
        <w:tc>
          <w:tcPr>
            <w:tcW w:w="1984" w:type="dxa"/>
          </w:tcPr>
          <w:p w:rsidR="009F0DAA" w:rsidRPr="00EF0553" w:rsidRDefault="009F0DAA">
            <w:pPr>
              <w:rPr>
                <w:sz w:val="22"/>
                <w:szCs w:val="22"/>
              </w:rPr>
            </w:pPr>
          </w:p>
          <w:p w:rsidR="00A91857" w:rsidRPr="00EF0553" w:rsidRDefault="00A91857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Staff members demonstrating; visitors</w:t>
            </w:r>
          </w:p>
        </w:tc>
        <w:tc>
          <w:tcPr>
            <w:tcW w:w="6958" w:type="dxa"/>
          </w:tcPr>
          <w:p w:rsidR="009F0DAA" w:rsidRPr="00EF0553" w:rsidRDefault="009F0DAA">
            <w:pPr>
              <w:rPr>
                <w:sz w:val="22"/>
                <w:szCs w:val="22"/>
              </w:rPr>
            </w:pPr>
          </w:p>
          <w:p w:rsidR="00A91857" w:rsidRPr="00EF0553" w:rsidRDefault="00A91857" w:rsidP="001817C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Substance handled by visitors as a dilute solution only. Solutions prepared by trained staff </w:t>
            </w:r>
            <w:r w:rsidR="009F0DAA" w:rsidRPr="00EF0553">
              <w:rPr>
                <w:sz w:val="22"/>
                <w:szCs w:val="22"/>
              </w:rPr>
              <w:t>only during the</w:t>
            </w:r>
            <w:r w:rsidRPr="00EF0553">
              <w:rPr>
                <w:sz w:val="22"/>
                <w:szCs w:val="22"/>
              </w:rPr>
              <w:t xml:space="preserve"> event from solid pellets (not powder form</w:t>
            </w:r>
            <w:r w:rsidR="001817CF">
              <w:rPr>
                <w:sz w:val="22"/>
                <w:szCs w:val="22"/>
              </w:rPr>
              <w:t xml:space="preserve"> to mitigate risk of inhalation</w:t>
            </w:r>
            <w:r w:rsidRPr="00EF0553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:rsidR="00A91857" w:rsidRPr="00EF0553" w:rsidRDefault="00A91857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L</w:t>
            </w:r>
          </w:p>
        </w:tc>
        <w:tc>
          <w:tcPr>
            <w:tcW w:w="952" w:type="dxa"/>
          </w:tcPr>
          <w:p w:rsidR="00A91857" w:rsidRPr="00EF0553" w:rsidRDefault="00A91857" w:rsidP="00A91857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</w:t>
            </w:r>
          </w:p>
        </w:tc>
      </w:tr>
    </w:tbl>
    <w:p w:rsidR="00E01D5E" w:rsidRDefault="00E01D5E" w:rsidP="0053003A">
      <w:pPr>
        <w:rPr>
          <w:sz w:val="22"/>
          <w:szCs w:val="22"/>
        </w:rPr>
      </w:pPr>
    </w:p>
    <w:p w:rsidR="00EF0553" w:rsidRPr="00EF0553" w:rsidRDefault="00EF0553" w:rsidP="00EF0553">
      <w:pPr>
        <w:rPr>
          <w:sz w:val="22"/>
          <w:szCs w:val="22"/>
        </w:rPr>
      </w:pPr>
    </w:p>
    <w:tbl>
      <w:tblPr>
        <w:tblStyle w:val="TableGrid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885"/>
      </w:tblGrid>
      <w:tr w:rsidR="00EF0553" w:rsidRPr="00EF0553" w:rsidTr="00EF0553">
        <w:trPr>
          <w:trHeight w:val="577"/>
        </w:trPr>
        <w:tc>
          <w:tcPr>
            <w:tcW w:w="14885" w:type="dxa"/>
          </w:tcPr>
          <w:p w:rsidR="00EF0553" w:rsidRPr="00EF0553" w:rsidRDefault="00EF0553" w:rsidP="00EF0553">
            <w:pPr>
              <w:rPr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>Date: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</w:tc>
      </w:tr>
    </w:tbl>
    <w:p w:rsidR="00EF0553" w:rsidRPr="00EF0553" w:rsidRDefault="00EF0553" w:rsidP="00EF0553">
      <w:pPr>
        <w:rPr>
          <w:sz w:val="22"/>
          <w:szCs w:val="22"/>
        </w:rPr>
      </w:pPr>
    </w:p>
    <w:p w:rsidR="00EF0553" w:rsidRPr="00EF0553" w:rsidRDefault="00EF0553" w:rsidP="0053003A">
      <w:pPr>
        <w:rPr>
          <w:sz w:val="22"/>
          <w:szCs w:val="22"/>
        </w:rPr>
      </w:pPr>
    </w:p>
    <w:sectPr w:rsidR="00EF0553" w:rsidRPr="00EF0553" w:rsidSect="00341D2B">
      <w:headerReference w:type="even" r:id="rId9"/>
      <w:headerReference w:type="first" r:id="rId10"/>
      <w:pgSz w:w="16838" w:h="11906" w:orient="landscape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40" w:rsidRDefault="009E2C40">
      <w:r>
        <w:separator/>
      </w:r>
    </w:p>
  </w:endnote>
  <w:endnote w:type="continuationSeparator" w:id="0">
    <w:p w:rsidR="009E2C40" w:rsidRDefault="009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40" w:rsidRDefault="009E2C40">
      <w:r>
        <w:separator/>
      </w:r>
    </w:p>
  </w:footnote>
  <w:footnote w:type="continuationSeparator" w:id="0">
    <w:p w:rsidR="009E2C40" w:rsidRDefault="009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1" w:rsidRDefault="00CA4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0.95pt;height:18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1" w:rsidRDefault="00CA4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0.95pt;height:188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8C"/>
    <w:multiLevelType w:val="hybridMultilevel"/>
    <w:tmpl w:val="88C4524C"/>
    <w:lvl w:ilvl="0" w:tplc="1B26C1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7422D"/>
    <w:multiLevelType w:val="hybridMultilevel"/>
    <w:tmpl w:val="ED6E2B1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B777A5E"/>
    <w:multiLevelType w:val="hybridMultilevel"/>
    <w:tmpl w:val="4EEC1A26"/>
    <w:lvl w:ilvl="0" w:tplc="56045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0327F"/>
    <w:rsid w:val="000113D7"/>
    <w:rsid w:val="00025E76"/>
    <w:rsid w:val="0005133D"/>
    <w:rsid w:val="000A08EB"/>
    <w:rsid w:val="000A27C3"/>
    <w:rsid w:val="000A486F"/>
    <w:rsid w:val="000A501D"/>
    <w:rsid w:val="000B2DE9"/>
    <w:rsid w:val="000C733E"/>
    <w:rsid w:val="000F7E0C"/>
    <w:rsid w:val="00120972"/>
    <w:rsid w:val="00140BD9"/>
    <w:rsid w:val="001817CF"/>
    <w:rsid w:val="001D5D34"/>
    <w:rsid w:val="001D75FC"/>
    <w:rsid w:val="001F6744"/>
    <w:rsid w:val="0020100F"/>
    <w:rsid w:val="00226983"/>
    <w:rsid w:val="00253292"/>
    <w:rsid w:val="002C6AEB"/>
    <w:rsid w:val="002C7CF5"/>
    <w:rsid w:val="002D7ABB"/>
    <w:rsid w:val="00341D2B"/>
    <w:rsid w:val="00352926"/>
    <w:rsid w:val="00364B84"/>
    <w:rsid w:val="00367EB4"/>
    <w:rsid w:val="003708A9"/>
    <w:rsid w:val="00392DB1"/>
    <w:rsid w:val="003E351A"/>
    <w:rsid w:val="003F37AB"/>
    <w:rsid w:val="004770B0"/>
    <w:rsid w:val="00484F1E"/>
    <w:rsid w:val="004979A3"/>
    <w:rsid w:val="004B4563"/>
    <w:rsid w:val="00511BF5"/>
    <w:rsid w:val="005225C9"/>
    <w:rsid w:val="0053003A"/>
    <w:rsid w:val="00534C84"/>
    <w:rsid w:val="00536656"/>
    <w:rsid w:val="00555185"/>
    <w:rsid w:val="00571DF9"/>
    <w:rsid w:val="0057203F"/>
    <w:rsid w:val="005816CD"/>
    <w:rsid w:val="005B341E"/>
    <w:rsid w:val="005C135F"/>
    <w:rsid w:val="005C61ED"/>
    <w:rsid w:val="005E68E8"/>
    <w:rsid w:val="00622FA5"/>
    <w:rsid w:val="00635DF2"/>
    <w:rsid w:val="00663081"/>
    <w:rsid w:val="006662D4"/>
    <w:rsid w:val="00667024"/>
    <w:rsid w:val="006D7F45"/>
    <w:rsid w:val="00714DEC"/>
    <w:rsid w:val="00727EBA"/>
    <w:rsid w:val="00732D35"/>
    <w:rsid w:val="00752315"/>
    <w:rsid w:val="00767B36"/>
    <w:rsid w:val="00785DC8"/>
    <w:rsid w:val="00791668"/>
    <w:rsid w:val="007E6818"/>
    <w:rsid w:val="007F29C3"/>
    <w:rsid w:val="008018B8"/>
    <w:rsid w:val="00835139"/>
    <w:rsid w:val="00856A77"/>
    <w:rsid w:val="00896503"/>
    <w:rsid w:val="008F47E5"/>
    <w:rsid w:val="00917797"/>
    <w:rsid w:val="00922B05"/>
    <w:rsid w:val="00945D8B"/>
    <w:rsid w:val="009538CF"/>
    <w:rsid w:val="00964569"/>
    <w:rsid w:val="009C0A0A"/>
    <w:rsid w:val="009D37A6"/>
    <w:rsid w:val="009E0F87"/>
    <w:rsid w:val="009E2C40"/>
    <w:rsid w:val="009F0DAA"/>
    <w:rsid w:val="00A263D1"/>
    <w:rsid w:val="00A36E86"/>
    <w:rsid w:val="00A42264"/>
    <w:rsid w:val="00A91857"/>
    <w:rsid w:val="00AC1E5E"/>
    <w:rsid w:val="00AD30F0"/>
    <w:rsid w:val="00AE1A75"/>
    <w:rsid w:val="00B1601C"/>
    <w:rsid w:val="00B1724B"/>
    <w:rsid w:val="00B35E07"/>
    <w:rsid w:val="00B46476"/>
    <w:rsid w:val="00B613A2"/>
    <w:rsid w:val="00B76033"/>
    <w:rsid w:val="00B80274"/>
    <w:rsid w:val="00BA1BD6"/>
    <w:rsid w:val="00BC7301"/>
    <w:rsid w:val="00BD53AC"/>
    <w:rsid w:val="00C13AE6"/>
    <w:rsid w:val="00C34F19"/>
    <w:rsid w:val="00C42424"/>
    <w:rsid w:val="00C434FD"/>
    <w:rsid w:val="00C66350"/>
    <w:rsid w:val="00CA2B83"/>
    <w:rsid w:val="00CA44BA"/>
    <w:rsid w:val="00CE0AF6"/>
    <w:rsid w:val="00CE4BFE"/>
    <w:rsid w:val="00D15D78"/>
    <w:rsid w:val="00D23F9C"/>
    <w:rsid w:val="00D30F1A"/>
    <w:rsid w:val="00D75F63"/>
    <w:rsid w:val="00D92B4F"/>
    <w:rsid w:val="00DB7477"/>
    <w:rsid w:val="00E01D5E"/>
    <w:rsid w:val="00E11B53"/>
    <w:rsid w:val="00E22A9D"/>
    <w:rsid w:val="00E3654D"/>
    <w:rsid w:val="00E6072D"/>
    <w:rsid w:val="00E96AD7"/>
    <w:rsid w:val="00EE4FE7"/>
    <w:rsid w:val="00EF0553"/>
    <w:rsid w:val="00EF0669"/>
    <w:rsid w:val="00F16763"/>
    <w:rsid w:val="00F528EB"/>
    <w:rsid w:val="00F74B78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03F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203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4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03F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203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4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2216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http://www.campus.manchester.ac.uk/healthandsafety/CoPs&amp;Guidance/AccidentReportForm.doc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2014-10-13T12:07:00Z</cp:lastPrinted>
  <dcterms:created xsi:type="dcterms:W3CDTF">2016-02-25T14:00:00Z</dcterms:created>
  <dcterms:modified xsi:type="dcterms:W3CDTF">2016-02-25T14:00:00Z</dcterms:modified>
</cp:coreProperties>
</file>